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CF59" w14:textId="2BB7D4F7" w:rsidR="00613DB5" w:rsidRDefault="00613DB5" w:rsidP="00613DB5">
      <w:pPr>
        <w:jc w:val="center"/>
        <w:rPr>
          <w:b/>
          <w:sz w:val="24"/>
          <w:szCs w:val="24"/>
        </w:rPr>
      </w:pPr>
      <w:r w:rsidRPr="00017378">
        <w:rPr>
          <w:b/>
          <w:sz w:val="24"/>
          <w:szCs w:val="24"/>
        </w:rPr>
        <w:t>OBCHODNÍ PODMÍNKY</w:t>
      </w:r>
      <w:r w:rsidR="009D31AD">
        <w:rPr>
          <w:b/>
          <w:sz w:val="24"/>
          <w:szCs w:val="24"/>
        </w:rPr>
        <w:t xml:space="preserve"> ÚVĚROVÝCH PARTICIPACÍ</w:t>
      </w:r>
    </w:p>
    <w:p w14:paraId="209A775D" w14:textId="77777777" w:rsidR="00017378" w:rsidRPr="00017378" w:rsidRDefault="00017378" w:rsidP="00613DB5">
      <w:pPr>
        <w:pStyle w:val="Nadpis1"/>
        <w:rPr>
          <w:szCs w:val="24"/>
          <w:lang w:val="cs-CZ"/>
        </w:rPr>
        <w:sectPr w:rsidR="00017378" w:rsidRPr="00017378">
          <w:headerReference w:type="default" r:id="rId8"/>
          <w:footerReference w:type="default" r:id="rId9"/>
          <w:pgSz w:w="11906" w:h="16838"/>
          <w:pgMar w:top="720" w:right="720" w:bottom="720" w:left="720" w:header="708" w:footer="772" w:gutter="0"/>
          <w:cols w:space="708"/>
          <w:docGrid w:linePitch="360"/>
        </w:sectPr>
      </w:pPr>
    </w:p>
    <w:p w14:paraId="15ED6BE5" w14:textId="37645480" w:rsidR="009D31AD" w:rsidRDefault="009D31AD" w:rsidP="00C822C6">
      <w:pPr>
        <w:pStyle w:val="Nadpis1"/>
        <w:tabs>
          <w:tab w:val="clear" w:pos="709"/>
          <w:tab w:val="num" w:pos="426"/>
        </w:tabs>
        <w:ind w:left="426" w:hanging="426"/>
        <w:rPr>
          <w:szCs w:val="18"/>
          <w:lang w:val="cs-CZ"/>
        </w:rPr>
      </w:pPr>
      <w:r>
        <w:rPr>
          <w:szCs w:val="18"/>
          <w:lang w:val="cs-CZ"/>
        </w:rPr>
        <w:t>úvod a definice</w:t>
      </w:r>
    </w:p>
    <w:p w14:paraId="36AAC5B7" w14:textId="6A8C1673" w:rsidR="009D31AD" w:rsidRDefault="009D31AD" w:rsidP="006A5EEA">
      <w:pPr>
        <w:spacing w:after="0"/>
        <w:rPr>
          <w:sz w:val="18"/>
          <w:szCs w:val="18"/>
        </w:rPr>
      </w:pPr>
      <w:r w:rsidRPr="00017378">
        <w:rPr>
          <w:sz w:val="18"/>
          <w:szCs w:val="18"/>
        </w:rPr>
        <w:t xml:space="preserve">Tyto </w:t>
      </w:r>
      <w:r w:rsidR="00B85D2B">
        <w:rPr>
          <w:sz w:val="18"/>
          <w:szCs w:val="18"/>
        </w:rPr>
        <w:t>O</w:t>
      </w:r>
      <w:r w:rsidRPr="00017378">
        <w:rPr>
          <w:sz w:val="18"/>
          <w:szCs w:val="18"/>
        </w:rPr>
        <w:t xml:space="preserve">bchodní podmínky vydává </w:t>
      </w:r>
      <w:r w:rsidRPr="00765E8C">
        <w:rPr>
          <w:sz w:val="18"/>
          <w:szCs w:val="18"/>
        </w:rPr>
        <w:t xml:space="preserve">společnost </w:t>
      </w:r>
      <w:r w:rsidR="001C03BB">
        <w:rPr>
          <w:b/>
          <w:sz w:val="18"/>
          <w:szCs w:val="18"/>
        </w:rPr>
        <w:t xml:space="preserve">BANKEE </w:t>
      </w:r>
      <w:proofErr w:type="spellStart"/>
      <w:r w:rsidR="00B301D6">
        <w:rPr>
          <w:b/>
          <w:sz w:val="18"/>
          <w:szCs w:val="18"/>
        </w:rPr>
        <w:t>Financial</w:t>
      </w:r>
      <w:proofErr w:type="spellEnd"/>
      <w:r w:rsidR="00B301D6">
        <w:rPr>
          <w:b/>
          <w:sz w:val="18"/>
          <w:szCs w:val="18"/>
        </w:rPr>
        <w:t xml:space="preserve"> </w:t>
      </w:r>
      <w:proofErr w:type="spellStart"/>
      <w:r w:rsidR="00B301D6">
        <w:rPr>
          <w:b/>
          <w:sz w:val="18"/>
          <w:szCs w:val="18"/>
        </w:rPr>
        <w:t>Services</w:t>
      </w:r>
      <w:proofErr w:type="spellEnd"/>
      <w:r w:rsidRPr="00700E72">
        <w:rPr>
          <w:b/>
          <w:sz w:val="18"/>
          <w:szCs w:val="18"/>
        </w:rPr>
        <w:t xml:space="preserve"> s.r.o.</w:t>
      </w:r>
      <w:r w:rsidRPr="00700E72">
        <w:rPr>
          <w:sz w:val="18"/>
          <w:szCs w:val="18"/>
        </w:rPr>
        <w:t xml:space="preserve">, se sídlem </w:t>
      </w:r>
      <w:r w:rsidR="00B301D6" w:rsidRPr="00B301D6">
        <w:rPr>
          <w:sz w:val="18"/>
          <w:szCs w:val="18"/>
        </w:rPr>
        <w:t>Na okraji 381/41, Veleslavín, 162 00Praha 6</w:t>
      </w:r>
      <w:r w:rsidRPr="00700E72">
        <w:rPr>
          <w:sz w:val="18"/>
          <w:szCs w:val="18"/>
        </w:rPr>
        <w:t xml:space="preserve">, IČ: </w:t>
      </w:r>
      <w:r w:rsidR="00B301D6">
        <w:rPr>
          <w:sz w:val="18"/>
          <w:szCs w:val="18"/>
        </w:rPr>
        <w:t>233 28 207</w:t>
      </w:r>
      <w:r w:rsidRPr="00700E72">
        <w:rPr>
          <w:sz w:val="18"/>
          <w:szCs w:val="18"/>
        </w:rPr>
        <w:t xml:space="preserve">, zapsaná v obchodním rejstříku vedeném Městským soudem v Praze, oddíl C, vložka č. </w:t>
      </w:r>
      <w:r w:rsidR="00B301D6">
        <w:rPr>
          <w:sz w:val="18"/>
          <w:szCs w:val="18"/>
        </w:rPr>
        <w:t>425328</w:t>
      </w:r>
      <w:r w:rsidR="00FB39A6">
        <w:rPr>
          <w:sz w:val="18"/>
          <w:szCs w:val="18"/>
        </w:rPr>
        <w:t>,</w:t>
      </w:r>
      <w:r w:rsidR="00B301D6">
        <w:rPr>
          <w:sz w:val="18"/>
          <w:szCs w:val="18"/>
        </w:rPr>
        <w:t xml:space="preserve"> a jejich účelem je úprava vzájemných práv a povinností mezi </w:t>
      </w:r>
      <w:proofErr w:type="spellStart"/>
      <w:r w:rsidR="00B301D6">
        <w:rPr>
          <w:sz w:val="18"/>
          <w:szCs w:val="18"/>
        </w:rPr>
        <w:t>Bankee</w:t>
      </w:r>
      <w:proofErr w:type="spellEnd"/>
      <w:r w:rsidR="00B301D6">
        <w:rPr>
          <w:sz w:val="18"/>
          <w:szCs w:val="18"/>
        </w:rPr>
        <w:t xml:space="preserve"> a </w:t>
      </w:r>
      <w:r w:rsidR="00CD31C4">
        <w:rPr>
          <w:sz w:val="18"/>
          <w:szCs w:val="18"/>
        </w:rPr>
        <w:t>investorem</w:t>
      </w:r>
      <w:r w:rsidR="00B301D6">
        <w:rPr>
          <w:sz w:val="18"/>
          <w:szCs w:val="18"/>
        </w:rPr>
        <w:t xml:space="preserve">, tj. fyzickou či právnickou osobou, která na základě rámcové smlouvy o participacích a postupování </w:t>
      </w:r>
      <w:r w:rsidR="002E603E">
        <w:rPr>
          <w:sz w:val="18"/>
          <w:szCs w:val="18"/>
        </w:rPr>
        <w:t xml:space="preserve">dílčích </w:t>
      </w:r>
      <w:r w:rsidR="00B301D6">
        <w:rPr>
          <w:sz w:val="18"/>
          <w:szCs w:val="18"/>
        </w:rPr>
        <w:t xml:space="preserve">pohledávek nabývá od </w:t>
      </w:r>
      <w:proofErr w:type="spellStart"/>
      <w:r w:rsidR="00B301D6">
        <w:rPr>
          <w:sz w:val="18"/>
          <w:szCs w:val="18"/>
        </w:rPr>
        <w:t>Bankee</w:t>
      </w:r>
      <w:proofErr w:type="spellEnd"/>
      <w:r w:rsidR="00B301D6">
        <w:rPr>
          <w:sz w:val="18"/>
          <w:szCs w:val="18"/>
        </w:rPr>
        <w:t xml:space="preserve"> za úplatu dílčí pohledávky z úvěrových smluv mezi </w:t>
      </w:r>
      <w:proofErr w:type="spellStart"/>
      <w:r w:rsidR="00B301D6">
        <w:rPr>
          <w:sz w:val="18"/>
          <w:szCs w:val="18"/>
        </w:rPr>
        <w:t>Bankee</w:t>
      </w:r>
      <w:proofErr w:type="spellEnd"/>
      <w:r w:rsidR="00B301D6">
        <w:rPr>
          <w:sz w:val="18"/>
          <w:szCs w:val="18"/>
        </w:rPr>
        <w:t xml:space="preserve"> a úvěrovanými subjekty.</w:t>
      </w:r>
    </w:p>
    <w:p w14:paraId="3286D66D" w14:textId="77777777" w:rsidR="00B301D6" w:rsidRDefault="00B301D6" w:rsidP="006A5EEA">
      <w:pPr>
        <w:spacing w:before="0" w:after="0"/>
        <w:rPr>
          <w:sz w:val="18"/>
          <w:szCs w:val="18"/>
        </w:rPr>
      </w:pPr>
    </w:p>
    <w:p w14:paraId="0D8CB0A3" w14:textId="2C668CF3" w:rsidR="00B301D6" w:rsidRDefault="00B301D6" w:rsidP="006A5EEA">
      <w:pPr>
        <w:spacing w:before="0"/>
      </w:pPr>
      <w:r>
        <w:rPr>
          <w:sz w:val="18"/>
          <w:szCs w:val="18"/>
        </w:rPr>
        <w:t xml:space="preserve">Veškeré pojmy uvedené v těchto </w:t>
      </w:r>
      <w:r w:rsidR="00B85D2B">
        <w:rPr>
          <w:sz w:val="18"/>
          <w:szCs w:val="18"/>
        </w:rPr>
        <w:t>O</w:t>
      </w:r>
      <w:r>
        <w:rPr>
          <w:sz w:val="18"/>
          <w:szCs w:val="18"/>
        </w:rPr>
        <w:t>bchodních podmínkách velkým písmenem mají níže uvedený význam:</w:t>
      </w:r>
    </w:p>
    <w:tbl>
      <w:tblPr>
        <w:tblStyle w:val="Mkatabulky"/>
        <w:tblW w:w="5243" w:type="dxa"/>
        <w:tblInd w:w="-34" w:type="dxa"/>
        <w:tblLook w:val="04A0" w:firstRow="1" w:lastRow="0" w:firstColumn="1" w:lastColumn="0" w:noHBand="0" w:noVBand="1"/>
      </w:tblPr>
      <w:tblGrid>
        <w:gridCol w:w="1560"/>
        <w:gridCol w:w="3683"/>
      </w:tblGrid>
      <w:tr w:rsidR="00390322" w14:paraId="7F560598" w14:textId="77777777" w:rsidTr="00273744">
        <w:tc>
          <w:tcPr>
            <w:tcW w:w="1560" w:type="dxa"/>
          </w:tcPr>
          <w:p w14:paraId="357FA994" w14:textId="64DC02BF" w:rsidR="00390322" w:rsidRDefault="00390322" w:rsidP="009D31AD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Agent pro Zajištění</w:t>
            </w:r>
          </w:p>
        </w:tc>
        <w:tc>
          <w:tcPr>
            <w:tcW w:w="3683" w:type="dxa"/>
          </w:tcPr>
          <w:p w14:paraId="7D995B71" w14:textId="6719D0F1" w:rsidR="00390322" w:rsidRPr="00551E8E" w:rsidRDefault="004F3933" w:rsidP="009D31AD">
            <w:pPr>
              <w:pStyle w:val="Nadpis2"/>
              <w:numPr>
                <w:ilvl w:val="0"/>
                <w:numId w:val="0"/>
              </w:numPr>
              <w:rPr>
                <w:bCs/>
                <w:sz w:val="18"/>
                <w:szCs w:val="18"/>
                <w:lang w:val="cs-CZ"/>
              </w:rPr>
            </w:pPr>
            <w:proofErr w:type="spellStart"/>
            <w:r>
              <w:rPr>
                <w:bCs/>
                <w:sz w:val="18"/>
                <w:szCs w:val="18"/>
                <w:lang w:val="cs-CZ"/>
              </w:rPr>
              <w:t>Bankee</w:t>
            </w:r>
            <w:proofErr w:type="spellEnd"/>
            <w:r>
              <w:rPr>
                <w:bCs/>
                <w:sz w:val="18"/>
                <w:szCs w:val="18"/>
                <w:lang w:val="cs-CZ"/>
              </w:rPr>
              <w:t xml:space="preserve">, která </w:t>
            </w:r>
            <w:r w:rsidR="003C4D64">
              <w:rPr>
                <w:bCs/>
                <w:sz w:val="18"/>
                <w:szCs w:val="18"/>
                <w:lang w:val="cs-CZ"/>
              </w:rPr>
              <w:t xml:space="preserve">vlastním jménem a na účet Investorů </w:t>
            </w:r>
            <w:r>
              <w:rPr>
                <w:bCs/>
                <w:sz w:val="18"/>
                <w:szCs w:val="18"/>
                <w:lang w:val="cs-CZ"/>
              </w:rPr>
              <w:t>vykonává</w:t>
            </w:r>
            <w:r w:rsidR="003C4D64">
              <w:rPr>
                <w:bCs/>
                <w:sz w:val="18"/>
                <w:szCs w:val="18"/>
                <w:lang w:val="cs-CZ"/>
              </w:rPr>
              <w:t xml:space="preserve"> v plném rozsahu</w:t>
            </w:r>
            <w:r>
              <w:rPr>
                <w:bCs/>
                <w:sz w:val="18"/>
                <w:szCs w:val="18"/>
                <w:lang w:val="cs-CZ"/>
              </w:rPr>
              <w:t xml:space="preserve"> činnost agenta pro zajištění ve smyslu § 20 a </w:t>
            </w:r>
            <w:r w:rsidR="00FB39A6">
              <w:rPr>
                <w:bCs/>
                <w:sz w:val="18"/>
                <w:szCs w:val="18"/>
                <w:lang w:val="cs-CZ"/>
              </w:rPr>
              <w:t xml:space="preserve">§ </w:t>
            </w:r>
            <w:r>
              <w:rPr>
                <w:bCs/>
                <w:sz w:val="18"/>
                <w:szCs w:val="18"/>
                <w:lang w:val="cs-CZ"/>
              </w:rPr>
              <w:t xml:space="preserve">20a zákona č. 190/2004 Sb., o dluhopisech, ve znění pozdějších předpisů, a to i přesto, že </w:t>
            </w:r>
            <w:r w:rsidR="003C4D64">
              <w:rPr>
                <w:bCs/>
                <w:sz w:val="18"/>
                <w:szCs w:val="18"/>
                <w:lang w:val="cs-CZ"/>
              </w:rPr>
              <w:t>tato činnost dle §</w:t>
            </w:r>
            <w:r>
              <w:rPr>
                <w:bCs/>
                <w:sz w:val="18"/>
                <w:szCs w:val="18"/>
                <w:lang w:val="cs-CZ"/>
              </w:rPr>
              <w:t xml:space="preserve"> 45</w:t>
            </w:r>
            <w:r w:rsidR="003C4D64">
              <w:rPr>
                <w:bCs/>
                <w:sz w:val="18"/>
                <w:szCs w:val="18"/>
                <w:lang w:val="cs-CZ"/>
              </w:rPr>
              <w:t xml:space="preserve"> tohoto zákona nesouvisí s dluhy vyplývajícími z dluhopisů, ale dluhy z Participací, resp. Úvěru.</w:t>
            </w:r>
          </w:p>
        </w:tc>
      </w:tr>
      <w:tr w:rsidR="009D31AD" w14:paraId="0195DFD5" w14:textId="77777777" w:rsidTr="00273744">
        <w:tc>
          <w:tcPr>
            <w:tcW w:w="1560" w:type="dxa"/>
          </w:tcPr>
          <w:p w14:paraId="443D0150" w14:textId="55F1779F" w:rsidR="009D31AD" w:rsidRDefault="00551E8E" w:rsidP="009D31AD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Bankee</w:t>
            </w:r>
            <w:proofErr w:type="spellEnd"/>
          </w:p>
        </w:tc>
        <w:tc>
          <w:tcPr>
            <w:tcW w:w="3683" w:type="dxa"/>
          </w:tcPr>
          <w:p w14:paraId="73684116" w14:textId="15B486EA" w:rsidR="009D31AD" w:rsidRPr="00551E8E" w:rsidRDefault="008B2F28" w:rsidP="009D31AD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BANKEE</w:t>
            </w:r>
            <w:r w:rsidRPr="00551E8E">
              <w:rPr>
                <w:bCs/>
                <w:sz w:val="18"/>
                <w:szCs w:val="18"/>
                <w:lang w:val="cs-CZ"/>
              </w:rPr>
              <w:t xml:space="preserve"> </w:t>
            </w:r>
            <w:proofErr w:type="spellStart"/>
            <w:r w:rsidR="00551E8E" w:rsidRPr="00551E8E">
              <w:rPr>
                <w:bCs/>
                <w:sz w:val="18"/>
                <w:szCs w:val="18"/>
                <w:lang w:val="cs-CZ"/>
              </w:rPr>
              <w:t>Financial</w:t>
            </w:r>
            <w:proofErr w:type="spellEnd"/>
            <w:r w:rsidR="00551E8E" w:rsidRPr="00551E8E">
              <w:rPr>
                <w:bCs/>
                <w:sz w:val="18"/>
                <w:szCs w:val="18"/>
                <w:lang w:val="cs-CZ"/>
              </w:rPr>
              <w:t xml:space="preserve"> </w:t>
            </w:r>
            <w:proofErr w:type="spellStart"/>
            <w:r w:rsidR="00551E8E" w:rsidRPr="00551E8E">
              <w:rPr>
                <w:bCs/>
                <w:sz w:val="18"/>
                <w:szCs w:val="18"/>
                <w:lang w:val="cs-CZ"/>
              </w:rPr>
              <w:t>Services</w:t>
            </w:r>
            <w:proofErr w:type="spellEnd"/>
            <w:r w:rsidR="00551E8E" w:rsidRPr="00551E8E">
              <w:rPr>
                <w:bCs/>
                <w:sz w:val="18"/>
                <w:szCs w:val="18"/>
                <w:lang w:val="cs-CZ"/>
              </w:rPr>
              <w:t xml:space="preserve"> s.r.o.,</w:t>
            </w:r>
            <w:r w:rsidR="00551E8E" w:rsidRPr="00700E72">
              <w:rPr>
                <w:sz w:val="18"/>
                <w:szCs w:val="18"/>
                <w:lang w:val="cs-CZ"/>
              </w:rPr>
              <w:t xml:space="preserve"> se sídlem </w:t>
            </w:r>
            <w:r w:rsidR="00551E8E" w:rsidRPr="00551E8E">
              <w:rPr>
                <w:sz w:val="18"/>
                <w:szCs w:val="18"/>
                <w:lang w:val="cs-CZ"/>
              </w:rPr>
              <w:t xml:space="preserve">Na okraji 381/41, Veleslavín, 162 00 </w:t>
            </w:r>
            <w:r w:rsidR="00551E8E" w:rsidRPr="00551E8E">
              <w:rPr>
                <w:sz w:val="18"/>
                <w:szCs w:val="18"/>
                <w:lang w:val="cs-CZ"/>
              </w:rPr>
              <w:br/>
              <w:t>Praha 6</w:t>
            </w:r>
            <w:r w:rsidR="00551E8E" w:rsidRPr="00700E72">
              <w:rPr>
                <w:sz w:val="18"/>
                <w:szCs w:val="18"/>
                <w:lang w:val="cs-CZ"/>
              </w:rPr>
              <w:t xml:space="preserve">, IČ: </w:t>
            </w:r>
            <w:r w:rsidR="00551E8E" w:rsidRPr="00551E8E">
              <w:rPr>
                <w:sz w:val="18"/>
                <w:szCs w:val="18"/>
                <w:lang w:val="cs-CZ"/>
              </w:rPr>
              <w:t>233 28 207</w:t>
            </w:r>
            <w:r w:rsidR="00551E8E" w:rsidRPr="00700E72">
              <w:rPr>
                <w:sz w:val="18"/>
                <w:szCs w:val="18"/>
                <w:lang w:val="cs-CZ"/>
              </w:rPr>
              <w:t xml:space="preserve">, zapsaná v obchodním rejstříku vedeném Městským soudem v Praze, oddíl C, vložka č. </w:t>
            </w:r>
            <w:r w:rsidR="00551E8E" w:rsidRPr="00551E8E">
              <w:rPr>
                <w:sz w:val="18"/>
                <w:szCs w:val="18"/>
                <w:lang w:val="cs-CZ"/>
              </w:rPr>
              <w:t>425328</w:t>
            </w:r>
            <w:r w:rsidR="00B85D2B">
              <w:rPr>
                <w:sz w:val="18"/>
                <w:szCs w:val="18"/>
                <w:lang w:val="cs-CZ"/>
              </w:rPr>
              <w:t>.</w:t>
            </w:r>
          </w:p>
        </w:tc>
      </w:tr>
      <w:tr w:rsidR="003C4D64" w14:paraId="09DF9D4A" w14:textId="77777777" w:rsidTr="00273744">
        <w:tc>
          <w:tcPr>
            <w:tcW w:w="1560" w:type="dxa"/>
          </w:tcPr>
          <w:p w14:paraId="7485A7AF" w14:textId="6F1A5EEC" w:rsidR="003C4D64" w:rsidRDefault="003C4D64" w:rsidP="009D31AD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Investor</w:t>
            </w:r>
          </w:p>
        </w:tc>
        <w:tc>
          <w:tcPr>
            <w:tcW w:w="3683" w:type="dxa"/>
          </w:tcPr>
          <w:p w14:paraId="467ECF32" w14:textId="66D1CE97" w:rsidR="003C4D64" w:rsidRPr="00551E8E" w:rsidRDefault="00B85D2B" w:rsidP="009D31AD">
            <w:pPr>
              <w:pStyle w:val="Nadpis2"/>
              <w:numPr>
                <w:ilvl w:val="0"/>
                <w:numId w:val="0"/>
              </w:numPr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Právnická či fyzická osoba, která uzavřela Rámcovou smlouvu.</w:t>
            </w:r>
          </w:p>
        </w:tc>
      </w:tr>
      <w:tr w:rsidR="009B1F3E" w14:paraId="02BAC4BD" w14:textId="77777777" w:rsidTr="00273744">
        <w:tc>
          <w:tcPr>
            <w:tcW w:w="1560" w:type="dxa"/>
          </w:tcPr>
          <w:p w14:paraId="426E9657" w14:textId="35BD4BA2" w:rsidR="009B1F3E" w:rsidRDefault="009B1F3E" w:rsidP="009D31AD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Občanský zákoník</w:t>
            </w:r>
          </w:p>
        </w:tc>
        <w:tc>
          <w:tcPr>
            <w:tcW w:w="3683" w:type="dxa"/>
          </w:tcPr>
          <w:p w14:paraId="278A6112" w14:textId="12EACB91" w:rsidR="009B1F3E" w:rsidRPr="00551E8E" w:rsidRDefault="00B85D2B" w:rsidP="009D31AD">
            <w:pPr>
              <w:pStyle w:val="Nadpis2"/>
              <w:numPr>
                <w:ilvl w:val="0"/>
                <w:numId w:val="0"/>
              </w:numPr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Zákon č. 89/2012 Sb., občanský zákoník, ve znění pozdějších předpisů.</w:t>
            </w:r>
          </w:p>
        </w:tc>
      </w:tr>
      <w:tr w:rsidR="00390322" w14:paraId="47775BA4" w14:textId="77777777" w:rsidTr="00273744">
        <w:tc>
          <w:tcPr>
            <w:tcW w:w="1560" w:type="dxa"/>
          </w:tcPr>
          <w:p w14:paraId="6022C7BF" w14:textId="760947B9" w:rsidR="00390322" w:rsidRDefault="00390322" w:rsidP="009D31AD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Objednávka</w:t>
            </w:r>
          </w:p>
        </w:tc>
        <w:tc>
          <w:tcPr>
            <w:tcW w:w="3683" w:type="dxa"/>
          </w:tcPr>
          <w:p w14:paraId="3155E678" w14:textId="1CA071BD" w:rsidR="00390322" w:rsidRPr="00551E8E" w:rsidRDefault="00CC0FFD" w:rsidP="009D31AD">
            <w:pPr>
              <w:pStyle w:val="Nadpis2"/>
              <w:numPr>
                <w:ilvl w:val="0"/>
                <w:numId w:val="0"/>
              </w:numPr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Z</w:t>
            </w:r>
            <w:r w:rsidR="00B85D2B">
              <w:rPr>
                <w:bCs/>
                <w:sz w:val="18"/>
                <w:szCs w:val="18"/>
                <w:lang w:val="cs-CZ"/>
              </w:rPr>
              <w:t>ávazná</w:t>
            </w:r>
            <w:r>
              <w:rPr>
                <w:bCs/>
                <w:sz w:val="18"/>
                <w:szCs w:val="18"/>
                <w:lang w:val="cs-CZ"/>
              </w:rPr>
              <w:t xml:space="preserve"> a neodvolatelná</w:t>
            </w:r>
            <w:r w:rsidR="00B85D2B">
              <w:rPr>
                <w:bCs/>
                <w:sz w:val="18"/>
                <w:szCs w:val="18"/>
                <w:lang w:val="cs-CZ"/>
              </w:rPr>
              <w:t xml:space="preserve"> nabídka Investora k</w:t>
            </w:r>
            <w:r w:rsidR="00FB39A6">
              <w:rPr>
                <w:bCs/>
                <w:sz w:val="18"/>
                <w:szCs w:val="18"/>
                <w:lang w:val="cs-CZ"/>
              </w:rPr>
              <w:t> </w:t>
            </w:r>
            <w:r>
              <w:rPr>
                <w:bCs/>
                <w:sz w:val="18"/>
                <w:szCs w:val="18"/>
                <w:lang w:val="cs-CZ"/>
              </w:rPr>
              <w:t>úplatnému</w:t>
            </w:r>
            <w:r w:rsidR="00B85D2B">
              <w:rPr>
                <w:bCs/>
                <w:sz w:val="18"/>
                <w:szCs w:val="18"/>
                <w:lang w:val="cs-CZ"/>
              </w:rPr>
              <w:t xml:space="preserve"> nabytí dílčí pohledávky </w:t>
            </w:r>
            <w:r>
              <w:rPr>
                <w:bCs/>
                <w:sz w:val="18"/>
                <w:szCs w:val="18"/>
                <w:lang w:val="cs-CZ"/>
              </w:rPr>
              <w:t xml:space="preserve">z Úvěru od </w:t>
            </w:r>
            <w:proofErr w:type="spellStart"/>
            <w:r>
              <w:rPr>
                <w:bCs/>
                <w:sz w:val="18"/>
                <w:szCs w:val="18"/>
                <w:lang w:val="cs-CZ"/>
              </w:rPr>
              <w:t>Bankee</w:t>
            </w:r>
            <w:proofErr w:type="spellEnd"/>
            <w:r>
              <w:rPr>
                <w:bCs/>
                <w:sz w:val="18"/>
                <w:szCs w:val="18"/>
                <w:lang w:val="cs-CZ"/>
              </w:rPr>
              <w:t xml:space="preserve"> učiněná prostřednictvím Platformy. </w:t>
            </w:r>
          </w:p>
        </w:tc>
      </w:tr>
      <w:tr w:rsidR="00390322" w14:paraId="6D172030" w14:textId="77777777" w:rsidTr="00273744">
        <w:tc>
          <w:tcPr>
            <w:tcW w:w="1560" w:type="dxa"/>
          </w:tcPr>
          <w:p w14:paraId="0EC753AE" w14:textId="234B680E" w:rsidR="00390322" w:rsidRDefault="00390322" w:rsidP="009D31AD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Obchodní podmínky</w:t>
            </w:r>
          </w:p>
        </w:tc>
        <w:tc>
          <w:tcPr>
            <w:tcW w:w="3683" w:type="dxa"/>
          </w:tcPr>
          <w:p w14:paraId="0FE20644" w14:textId="1A539A47" w:rsidR="00390322" w:rsidRPr="00551E8E" w:rsidRDefault="00CC0FFD" w:rsidP="009D31AD">
            <w:pPr>
              <w:pStyle w:val="Nadpis2"/>
              <w:numPr>
                <w:ilvl w:val="0"/>
                <w:numId w:val="0"/>
              </w:numPr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Tyto obchodní podmínky úvěrových participací v aktuálním účinném znění.</w:t>
            </w:r>
          </w:p>
        </w:tc>
      </w:tr>
      <w:tr w:rsidR="009B1F3E" w14:paraId="5AD642C0" w14:textId="77777777" w:rsidTr="00273744">
        <w:tc>
          <w:tcPr>
            <w:tcW w:w="1560" w:type="dxa"/>
          </w:tcPr>
          <w:p w14:paraId="114753C3" w14:textId="646E2D4F" w:rsidR="009B1F3E" w:rsidRDefault="009B1F3E" w:rsidP="009D31AD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Participace</w:t>
            </w:r>
          </w:p>
        </w:tc>
        <w:tc>
          <w:tcPr>
            <w:tcW w:w="3683" w:type="dxa"/>
          </w:tcPr>
          <w:p w14:paraId="78652200" w14:textId="19E0D298" w:rsidR="009B1F3E" w:rsidRPr="00551E8E" w:rsidRDefault="00CC0FFD" w:rsidP="009D31AD">
            <w:pPr>
              <w:pStyle w:val="Nadpis2"/>
              <w:numPr>
                <w:ilvl w:val="0"/>
                <w:numId w:val="0"/>
              </w:numPr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Závazkový právní vztah mezi Investorem jako věřitelem a Úvěrovaným jako dlužníkem, na základě něhož má Investor právo na Plnění v rozsahu velikosti jeho participace vůči celkové výši Úvěru.</w:t>
            </w:r>
          </w:p>
        </w:tc>
      </w:tr>
      <w:tr w:rsidR="003C4D64" w14:paraId="191BE187" w14:textId="77777777" w:rsidTr="00273744">
        <w:tc>
          <w:tcPr>
            <w:tcW w:w="1560" w:type="dxa"/>
          </w:tcPr>
          <w:p w14:paraId="6C9A7D8D" w14:textId="28208D2E" w:rsidR="003C4D64" w:rsidRDefault="003C4D64" w:rsidP="009D31AD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Platforma</w:t>
            </w:r>
          </w:p>
        </w:tc>
        <w:tc>
          <w:tcPr>
            <w:tcW w:w="3683" w:type="dxa"/>
          </w:tcPr>
          <w:p w14:paraId="7DCF69D4" w14:textId="74B3EA2C" w:rsidR="003C4D64" w:rsidRPr="00551E8E" w:rsidRDefault="00B60D42" w:rsidP="009D31AD">
            <w:pPr>
              <w:pStyle w:val="Nadpis2"/>
              <w:numPr>
                <w:ilvl w:val="0"/>
                <w:numId w:val="0"/>
              </w:numPr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 xml:space="preserve">Rozhraní webové aplikace pro Investory provozované </w:t>
            </w:r>
            <w:proofErr w:type="spellStart"/>
            <w:r>
              <w:rPr>
                <w:bCs/>
                <w:sz w:val="18"/>
                <w:szCs w:val="18"/>
                <w:lang w:val="cs-CZ"/>
              </w:rPr>
              <w:t>Bankee</w:t>
            </w:r>
            <w:proofErr w:type="spellEnd"/>
            <w:r>
              <w:rPr>
                <w:bCs/>
                <w:sz w:val="18"/>
                <w:szCs w:val="18"/>
                <w:lang w:val="cs-CZ"/>
              </w:rPr>
              <w:t xml:space="preserve"> na stránkách </w:t>
            </w:r>
            <w:r w:rsidR="00FB39A6">
              <w:fldChar w:fldCharType="begin"/>
            </w:r>
            <w:r w:rsidR="00FB39A6" w:rsidRPr="00113BD7">
              <w:rPr>
                <w:lang w:val="cs-CZ"/>
              </w:rPr>
              <w:instrText>HYPERLINK "http://www.bankee.cz"</w:instrText>
            </w:r>
            <w:r w:rsidR="00FB39A6">
              <w:fldChar w:fldCharType="separate"/>
            </w:r>
            <w:r w:rsidR="00FB39A6" w:rsidRPr="006432A3">
              <w:rPr>
                <w:rStyle w:val="Hypertextovodkaz"/>
                <w:bCs/>
                <w:sz w:val="18"/>
                <w:szCs w:val="18"/>
                <w:lang w:val="cs-CZ"/>
              </w:rPr>
              <w:t>www.bankee.cz</w:t>
            </w:r>
            <w:r w:rsidR="00FB39A6">
              <w:fldChar w:fldCharType="end"/>
            </w:r>
            <w:r w:rsidR="00FB39A6">
              <w:rPr>
                <w:bCs/>
                <w:sz w:val="18"/>
                <w:szCs w:val="18"/>
                <w:lang w:val="cs-CZ"/>
              </w:rPr>
              <w:t xml:space="preserve"> </w:t>
            </w:r>
          </w:p>
        </w:tc>
      </w:tr>
      <w:tr w:rsidR="009B1F3E" w:rsidRPr="00273744" w14:paraId="7BBEF987" w14:textId="77777777" w:rsidTr="00273744">
        <w:tc>
          <w:tcPr>
            <w:tcW w:w="1560" w:type="dxa"/>
          </w:tcPr>
          <w:p w14:paraId="4D5DA78D" w14:textId="2AD5EC7F" w:rsidR="009B1F3E" w:rsidRPr="00273744" w:rsidRDefault="009B1F3E" w:rsidP="009D31AD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 w:rsidRPr="00273744">
              <w:rPr>
                <w:sz w:val="18"/>
                <w:szCs w:val="18"/>
                <w:lang w:val="cs-CZ"/>
              </w:rPr>
              <w:t xml:space="preserve">Plnění </w:t>
            </w:r>
          </w:p>
        </w:tc>
        <w:tc>
          <w:tcPr>
            <w:tcW w:w="3683" w:type="dxa"/>
          </w:tcPr>
          <w:p w14:paraId="1CF19A73" w14:textId="30D02E5D" w:rsidR="009B1F3E" w:rsidRPr="00273744" w:rsidRDefault="00CC0FFD" w:rsidP="009D31AD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 w:rsidRPr="00273744">
              <w:rPr>
                <w:sz w:val="18"/>
                <w:szCs w:val="18"/>
                <w:lang w:val="cs-CZ"/>
              </w:rPr>
              <w:t xml:space="preserve">Veškeré finanční plnění, které </w:t>
            </w:r>
            <w:proofErr w:type="spellStart"/>
            <w:r w:rsidRPr="00273744">
              <w:rPr>
                <w:sz w:val="18"/>
                <w:szCs w:val="18"/>
                <w:lang w:val="cs-CZ"/>
              </w:rPr>
              <w:t>Bankee</w:t>
            </w:r>
            <w:proofErr w:type="spellEnd"/>
            <w:r w:rsidRPr="00273744">
              <w:rPr>
                <w:sz w:val="18"/>
                <w:szCs w:val="18"/>
                <w:lang w:val="cs-CZ"/>
              </w:rPr>
              <w:t xml:space="preserve"> obdrží na úhradu jakýchkoli pohledávek vyplývajících z Úvěrové smlouvy, a to včetně případného příslušenství či plnění od třetích osob v souvislost</w:t>
            </w:r>
            <w:r w:rsidR="00FB39A6">
              <w:rPr>
                <w:sz w:val="18"/>
                <w:szCs w:val="18"/>
                <w:lang w:val="cs-CZ"/>
              </w:rPr>
              <w:t>i</w:t>
            </w:r>
            <w:r w:rsidRPr="00273744">
              <w:rPr>
                <w:sz w:val="18"/>
                <w:szCs w:val="18"/>
                <w:lang w:val="cs-CZ"/>
              </w:rPr>
              <w:t xml:space="preserve"> s realizací Zajištění. Ve vztahu k Investorům Plnění vždy odpovídá poměru jejich Participace na celkové výši Úvěru. </w:t>
            </w:r>
          </w:p>
        </w:tc>
      </w:tr>
      <w:tr w:rsidR="00CC0FFD" w:rsidRPr="00273744" w14:paraId="02BC42A5" w14:textId="77777777" w:rsidTr="00273744">
        <w:tc>
          <w:tcPr>
            <w:tcW w:w="1560" w:type="dxa"/>
          </w:tcPr>
          <w:p w14:paraId="1C8B2B40" w14:textId="77777777" w:rsidR="00CC0FFD" w:rsidRPr="00273744" w:rsidRDefault="00CC0FFD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 w:rsidRPr="00273744">
              <w:rPr>
                <w:sz w:val="18"/>
                <w:szCs w:val="18"/>
                <w:lang w:val="cs-CZ"/>
              </w:rPr>
              <w:t>Rámcová smlouva</w:t>
            </w:r>
          </w:p>
        </w:tc>
        <w:tc>
          <w:tcPr>
            <w:tcW w:w="3683" w:type="dxa"/>
          </w:tcPr>
          <w:p w14:paraId="220707A0" w14:textId="1F984EB3" w:rsidR="00CC0FFD" w:rsidRPr="00273744" w:rsidRDefault="00273744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Rámcová smlouva o postoupení pohledávek (nabytí </w:t>
            </w:r>
            <w:r w:rsidR="006E7EE5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 xml:space="preserve">articipace) mezi </w:t>
            </w:r>
            <w:proofErr w:type="spellStart"/>
            <w:r>
              <w:rPr>
                <w:sz w:val="18"/>
                <w:szCs w:val="18"/>
                <w:lang w:val="cs-CZ"/>
              </w:rPr>
              <w:t>Bankee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jako postupitelem a Investorem jako postupníkem, jejímž předmětem je úplatné nabývání pohledávek z Úvěrových smluv.</w:t>
            </w:r>
          </w:p>
        </w:tc>
      </w:tr>
      <w:tr w:rsidR="00C86E06" w:rsidRPr="00273744" w14:paraId="1A113EEB" w14:textId="77777777" w:rsidTr="00273744">
        <w:tc>
          <w:tcPr>
            <w:tcW w:w="1560" w:type="dxa"/>
          </w:tcPr>
          <w:p w14:paraId="7054B92B" w14:textId="07246C89" w:rsidR="00C86E06" w:rsidRPr="00273744" w:rsidRDefault="00C86E06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Sazebník poplatků</w:t>
            </w:r>
          </w:p>
        </w:tc>
        <w:tc>
          <w:tcPr>
            <w:tcW w:w="3683" w:type="dxa"/>
          </w:tcPr>
          <w:p w14:paraId="7D50A685" w14:textId="76305DA0" w:rsidR="00C86E06" w:rsidRDefault="00C86E06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Sazebník poplatků a náhrad placených Investorem </w:t>
            </w:r>
            <w:proofErr w:type="spellStart"/>
            <w:r>
              <w:rPr>
                <w:sz w:val="18"/>
                <w:szCs w:val="18"/>
                <w:lang w:val="cs-CZ"/>
              </w:rPr>
              <w:t>Bankee</w:t>
            </w:r>
            <w:proofErr w:type="spellEnd"/>
            <w:r w:rsidR="00FB39A6">
              <w:rPr>
                <w:sz w:val="18"/>
                <w:szCs w:val="18"/>
                <w:lang w:val="cs-CZ"/>
              </w:rPr>
              <w:t>,</w:t>
            </w:r>
            <w:r w:rsidR="002A261D">
              <w:rPr>
                <w:sz w:val="18"/>
                <w:szCs w:val="18"/>
                <w:lang w:val="cs-CZ"/>
              </w:rPr>
              <w:t xml:space="preserve"> zveřejn</w:t>
            </w:r>
            <w:r w:rsidR="00FB39A6">
              <w:rPr>
                <w:sz w:val="18"/>
                <w:szCs w:val="18"/>
                <w:lang w:val="cs-CZ"/>
              </w:rPr>
              <w:t xml:space="preserve">ěný </w:t>
            </w:r>
            <w:r>
              <w:rPr>
                <w:sz w:val="18"/>
                <w:szCs w:val="18"/>
                <w:lang w:val="cs-CZ"/>
              </w:rPr>
              <w:t>na Platformě.</w:t>
            </w:r>
          </w:p>
        </w:tc>
      </w:tr>
      <w:tr w:rsidR="00CC0FFD" w:rsidRPr="00273744" w14:paraId="08F2B8C7" w14:textId="77777777" w:rsidTr="00273744">
        <w:tc>
          <w:tcPr>
            <w:tcW w:w="1560" w:type="dxa"/>
          </w:tcPr>
          <w:p w14:paraId="0B556C4B" w14:textId="77777777" w:rsidR="00CC0FFD" w:rsidRPr="00273744" w:rsidRDefault="00CC0FFD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 w:rsidRPr="00273744">
              <w:rPr>
                <w:sz w:val="18"/>
                <w:szCs w:val="18"/>
                <w:lang w:val="cs-CZ"/>
              </w:rPr>
              <w:t>Splatná pohledávka</w:t>
            </w:r>
          </w:p>
        </w:tc>
        <w:tc>
          <w:tcPr>
            <w:tcW w:w="3683" w:type="dxa"/>
          </w:tcPr>
          <w:p w14:paraId="67281D23" w14:textId="28FAA9E3" w:rsidR="00CC0FFD" w:rsidRPr="00273744" w:rsidRDefault="00973E98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Pohledávky</w:t>
            </w:r>
            <w:r w:rsidR="00273744">
              <w:rPr>
                <w:sz w:val="18"/>
                <w:szCs w:val="18"/>
                <w:lang w:val="cs-CZ"/>
              </w:rPr>
              <w:t xml:space="preserve"> vyplývající z Úvěrových smluv (tj. Participace a </w:t>
            </w:r>
            <w:r w:rsidR="00A34CDC">
              <w:rPr>
                <w:sz w:val="18"/>
                <w:szCs w:val="18"/>
                <w:lang w:val="cs-CZ"/>
              </w:rPr>
              <w:t>zbývající část Úvěru, která nebyla postoupena</w:t>
            </w:r>
            <w:r w:rsidR="00273744">
              <w:rPr>
                <w:sz w:val="18"/>
                <w:szCs w:val="18"/>
                <w:lang w:val="cs-CZ"/>
              </w:rPr>
              <w:t>)</w:t>
            </w:r>
            <w:r>
              <w:rPr>
                <w:sz w:val="18"/>
                <w:szCs w:val="18"/>
                <w:lang w:val="cs-CZ"/>
              </w:rPr>
              <w:t xml:space="preserve">, které se staly splatnými a jsou vymáhány jednotně </w:t>
            </w:r>
            <w:proofErr w:type="spellStart"/>
            <w:r>
              <w:rPr>
                <w:sz w:val="18"/>
                <w:szCs w:val="18"/>
                <w:lang w:val="cs-CZ"/>
              </w:rPr>
              <w:t>Bankee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na základě Správy Participací.</w:t>
            </w:r>
          </w:p>
        </w:tc>
      </w:tr>
      <w:tr w:rsidR="00973E98" w:rsidRPr="00273744" w14:paraId="2FBB6BB5" w14:textId="77777777" w:rsidTr="00273744">
        <w:tc>
          <w:tcPr>
            <w:tcW w:w="1560" w:type="dxa"/>
          </w:tcPr>
          <w:p w14:paraId="497574AE" w14:textId="56DE0132" w:rsidR="00973E98" w:rsidRPr="00273744" w:rsidRDefault="00973E98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Správa Participací</w:t>
            </w:r>
          </w:p>
        </w:tc>
        <w:tc>
          <w:tcPr>
            <w:tcW w:w="3683" w:type="dxa"/>
          </w:tcPr>
          <w:p w14:paraId="3A0A1459" w14:textId="516776DF" w:rsidR="00973E98" w:rsidRDefault="00733C6D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Komplexní správa Participací a výkon souvisejících práv včetně případného vymáhání a realizace Zajištění, a to v plném rozsahu. Správu zajišťuje </w:t>
            </w:r>
            <w:proofErr w:type="spellStart"/>
            <w:r>
              <w:rPr>
                <w:sz w:val="18"/>
                <w:szCs w:val="18"/>
                <w:lang w:val="cs-CZ"/>
              </w:rPr>
              <w:t>Bankee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pro Investora vlastním jménem a na jeho účet (komise dle </w:t>
            </w:r>
            <w:r>
              <w:rPr>
                <w:sz w:val="18"/>
                <w:szCs w:val="18"/>
                <w:lang w:val="cs-CZ"/>
              </w:rPr>
              <w:br/>
              <w:t>§ 2455 a násl. Občanského zákoníku), přičemž podrobnosti stanoví Rámcová smlouva.</w:t>
            </w:r>
          </w:p>
        </w:tc>
      </w:tr>
      <w:tr w:rsidR="00CC0FFD" w:rsidRPr="00273744" w14:paraId="65D0807F" w14:textId="77777777" w:rsidTr="00273744">
        <w:tc>
          <w:tcPr>
            <w:tcW w:w="1560" w:type="dxa"/>
          </w:tcPr>
          <w:p w14:paraId="62A75227" w14:textId="77777777" w:rsidR="00CC0FFD" w:rsidRPr="00273744" w:rsidRDefault="00CC0FFD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 w:rsidRPr="00273744">
              <w:rPr>
                <w:sz w:val="18"/>
                <w:szCs w:val="18"/>
                <w:lang w:val="cs-CZ"/>
              </w:rPr>
              <w:t>Úvěr</w:t>
            </w:r>
          </w:p>
        </w:tc>
        <w:tc>
          <w:tcPr>
            <w:tcW w:w="3683" w:type="dxa"/>
          </w:tcPr>
          <w:p w14:paraId="48079449" w14:textId="7A69CB7D" w:rsidR="00CC0FFD" w:rsidRPr="00273744" w:rsidRDefault="00973E98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Účelový zajištěný podnikatelský úvěr, který byl poskytnut Úvěrovanému </w:t>
            </w:r>
            <w:r w:rsidR="00FB39A6">
              <w:rPr>
                <w:sz w:val="18"/>
                <w:szCs w:val="18"/>
                <w:lang w:val="cs-CZ"/>
              </w:rPr>
              <w:t xml:space="preserve">od </w:t>
            </w:r>
            <w:proofErr w:type="spellStart"/>
            <w:r>
              <w:rPr>
                <w:sz w:val="18"/>
                <w:szCs w:val="18"/>
                <w:lang w:val="cs-CZ"/>
              </w:rPr>
              <w:t>Bankee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na základě Úvěrové smlouvy.</w:t>
            </w:r>
          </w:p>
        </w:tc>
      </w:tr>
      <w:tr w:rsidR="00CC0FFD" w:rsidRPr="00273744" w14:paraId="0625EDE4" w14:textId="77777777" w:rsidTr="00273744">
        <w:tc>
          <w:tcPr>
            <w:tcW w:w="1560" w:type="dxa"/>
          </w:tcPr>
          <w:p w14:paraId="0ADE6906" w14:textId="77777777" w:rsidR="00CC0FFD" w:rsidRPr="00273744" w:rsidRDefault="00CC0FFD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 w:rsidRPr="00273744">
              <w:rPr>
                <w:sz w:val="18"/>
                <w:szCs w:val="18"/>
                <w:lang w:val="cs-CZ"/>
              </w:rPr>
              <w:t>Úvěrová smlouva</w:t>
            </w:r>
          </w:p>
        </w:tc>
        <w:tc>
          <w:tcPr>
            <w:tcW w:w="3683" w:type="dxa"/>
          </w:tcPr>
          <w:p w14:paraId="116FB957" w14:textId="21764E6D" w:rsidR="00CC0FFD" w:rsidRPr="00273744" w:rsidRDefault="00973E98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Smlouva o úvěru mezi </w:t>
            </w:r>
            <w:proofErr w:type="spellStart"/>
            <w:r>
              <w:rPr>
                <w:sz w:val="18"/>
                <w:szCs w:val="18"/>
                <w:lang w:val="cs-CZ"/>
              </w:rPr>
              <w:t>Bankee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jako úvěrujícím a Úvěrovaným jako úvěrovaným, jejímž předmětem </w:t>
            </w:r>
            <w:r w:rsidR="00FB39A6">
              <w:rPr>
                <w:sz w:val="18"/>
                <w:szCs w:val="18"/>
                <w:lang w:val="cs-CZ"/>
              </w:rPr>
              <w:t>je</w:t>
            </w:r>
            <w:r>
              <w:rPr>
                <w:sz w:val="18"/>
                <w:szCs w:val="18"/>
                <w:lang w:val="cs-CZ"/>
              </w:rPr>
              <w:t xml:space="preserve"> poskytnutí Úvěru.</w:t>
            </w:r>
          </w:p>
        </w:tc>
      </w:tr>
      <w:tr w:rsidR="00CC0FFD" w:rsidRPr="00273744" w14:paraId="64A8D2BA" w14:textId="77777777" w:rsidTr="00273744">
        <w:tc>
          <w:tcPr>
            <w:tcW w:w="1560" w:type="dxa"/>
          </w:tcPr>
          <w:p w14:paraId="7823E88A" w14:textId="77777777" w:rsidR="00CC0FFD" w:rsidRPr="00273744" w:rsidRDefault="00CC0FFD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 w:rsidRPr="00273744">
              <w:rPr>
                <w:sz w:val="18"/>
                <w:szCs w:val="18"/>
                <w:lang w:val="cs-CZ"/>
              </w:rPr>
              <w:t>Úvěrovaný</w:t>
            </w:r>
          </w:p>
        </w:tc>
        <w:tc>
          <w:tcPr>
            <w:tcW w:w="3683" w:type="dxa"/>
          </w:tcPr>
          <w:p w14:paraId="149CF67D" w14:textId="23BDCA0C" w:rsidR="00CC0FFD" w:rsidRPr="00273744" w:rsidRDefault="00973E98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Právnická osoba se sídlem v EU, které byl poskytnut Úvěr na základě Úvěrové smlouvy.</w:t>
            </w:r>
          </w:p>
        </w:tc>
      </w:tr>
      <w:tr w:rsidR="00CC0FFD" w:rsidRPr="00273744" w14:paraId="31E403DA" w14:textId="77777777" w:rsidTr="00273744">
        <w:tc>
          <w:tcPr>
            <w:tcW w:w="1560" w:type="dxa"/>
          </w:tcPr>
          <w:p w14:paraId="3BA9280D" w14:textId="51EB9C2D" w:rsidR="00CC0FFD" w:rsidRPr="00273744" w:rsidRDefault="00127637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Investovaná částka</w:t>
            </w:r>
          </w:p>
        </w:tc>
        <w:tc>
          <w:tcPr>
            <w:tcW w:w="3683" w:type="dxa"/>
          </w:tcPr>
          <w:p w14:paraId="63724593" w14:textId="56D347C8" w:rsidR="00CC0FFD" w:rsidRPr="00273744" w:rsidRDefault="00127637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Úplata, neboli f</w:t>
            </w:r>
            <w:r w:rsidR="003D7212">
              <w:rPr>
                <w:sz w:val="18"/>
                <w:szCs w:val="18"/>
                <w:lang w:val="cs-CZ"/>
              </w:rPr>
              <w:t>inanční p</w:t>
            </w:r>
            <w:r w:rsidR="00973E98">
              <w:rPr>
                <w:sz w:val="18"/>
                <w:szCs w:val="18"/>
                <w:lang w:val="cs-CZ"/>
              </w:rPr>
              <w:t xml:space="preserve">rotiplnění poskytnuté Investorem </w:t>
            </w:r>
            <w:proofErr w:type="spellStart"/>
            <w:r w:rsidR="00973E98">
              <w:rPr>
                <w:sz w:val="18"/>
                <w:szCs w:val="18"/>
                <w:lang w:val="cs-CZ"/>
              </w:rPr>
              <w:t>Bankee</w:t>
            </w:r>
            <w:proofErr w:type="spellEnd"/>
            <w:r w:rsidR="00973E98">
              <w:rPr>
                <w:sz w:val="18"/>
                <w:szCs w:val="18"/>
                <w:lang w:val="cs-CZ"/>
              </w:rPr>
              <w:t xml:space="preserve"> za nabytí Participace (tj. </w:t>
            </w:r>
            <w:r w:rsidR="003D7212">
              <w:rPr>
                <w:sz w:val="18"/>
                <w:szCs w:val="18"/>
                <w:lang w:val="cs-CZ"/>
              </w:rPr>
              <w:t xml:space="preserve">za </w:t>
            </w:r>
            <w:r w:rsidR="00973E98">
              <w:rPr>
                <w:sz w:val="18"/>
                <w:szCs w:val="18"/>
                <w:lang w:val="cs-CZ"/>
              </w:rPr>
              <w:t>postoupení dílčí pohledávky z Úvěrové smlouvy</w:t>
            </w:r>
            <w:r w:rsidR="003D7212">
              <w:rPr>
                <w:sz w:val="18"/>
                <w:szCs w:val="18"/>
                <w:lang w:val="cs-CZ"/>
              </w:rPr>
              <w:t xml:space="preserve"> na Investora</w:t>
            </w:r>
            <w:r w:rsidR="00973E98">
              <w:rPr>
                <w:sz w:val="18"/>
                <w:szCs w:val="18"/>
                <w:lang w:val="cs-CZ"/>
              </w:rPr>
              <w:t>).</w:t>
            </w:r>
          </w:p>
        </w:tc>
      </w:tr>
      <w:tr w:rsidR="00CC0FFD" w:rsidRPr="00273744" w14:paraId="7D090675" w14:textId="77777777" w:rsidTr="00273744">
        <w:tc>
          <w:tcPr>
            <w:tcW w:w="1560" w:type="dxa"/>
          </w:tcPr>
          <w:p w14:paraId="137487CF" w14:textId="77777777" w:rsidR="00CC0FFD" w:rsidRPr="00273744" w:rsidRDefault="00CC0FFD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 w:rsidRPr="00273744">
              <w:rPr>
                <w:sz w:val="18"/>
                <w:szCs w:val="18"/>
                <w:lang w:val="cs-CZ"/>
              </w:rPr>
              <w:t>Zajištění</w:t>
            </w:r>
          </w:p>
        </w:tc>
        <w:tc>
          <w:tcPr>
            <w:tcW w:w="3683" w:type="dxa"/>
          </w:tcPr>
          <w:p w14:paraId="788AB9DB" w14:textId="787B927A" w:rsidR="00CC0FFD" w:rsidRPr="00273744" w:rsidRDefault="00733C6D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Jakékoli zajištění pohledávek vyplývajících z Úvěrové smlouvy, zejména zástavní práva, ručitelská prohlášení či jiné formy zajištění. </w:t>
            </w:r>
          </w:p>
        </w:tc>
      </w:tr>
      <w:tr w:rsidR="00620FFF" w:rsidRPr="00273744" w14:paraId="1DAEA846" w14:textId="77777777" w:rsidTr="00273744">
        <w:tc>
          <w:tcPr>
            <w:tcW w:w="1560" w:type="dxa"/>
          </w:tcPr>
          <w:p w14:paraId="4D8B723E" w14:textId="170E06EE" w:rsidR="00620FFF" w:rsidRPr="00273744" w:rsidRDefault="00620FFF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Zajišťovací </w:t>
            </w:r>
            <w:r w:rsidR="006E77D1">
              <w:rPr>
                <w:sz w:val="18"/>
                <w:szCs w:val="18"/>
                <w:lang w:val="cs-CZ"/>
              </w:rPr>
              <w:t>d</w:t>
            </w:r>
            <w:r>
              <w:rPr>
                <w:sz w:val="18"/>
                <w:szCs w:val="18"/>
                <w:lang w:val="cs-CZ"/>
              </w:rPr>
              <w:t>okument</w:t>
            </w:r>
          </w:p>
        </w:tc>
        <w:tc>
          <w:tcPr>
            <w:tcW w:w="3683" w:type="dxa"/>
          </w:tcPr>
          <w:p w14:paraId="79AA849E" w14:textId="48CB30D8" w:rsidR="00620FFF" w:rsidRDefault="00620FFF" w:rsidP="00620FF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Jakýkoli dokument zajišťující pohledávky vyplývající z Úvěrové smlouvy a obsahující stanovení o určení Agenta pro zajištění </w:t>
            </w:r>
            <w:r w:rsidRPr="00620FFF">
              <w:rPr>
                <w:sz w:val="18"/>
                <w:szCs w:val="18"/>
                <w:lang w:val="cs-CZ"/>
              </w:rPr>
              <w:t>pro zajištění pro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620FFF">
              <w:rPr>
                <w:sz w:val="18"/>
                <w:szCs w:val="18"/>
                <w:lang w:val="cs-CZ"/>
              </w:rPr>
              <w:t xml:space="preserve">případ částečného postoupení </w:t>
            </w:r>
            <w:r>
              <w:rPr>
                <w:sz w:val="18"/>
                <w:szCs w:val="18"/>
                <w:lang w:val="cs-CZ"/>
              </w:rPr>
              <w:t>Úvěrové pohledávky (</w:t>
            </w:r>
            <w:r w:rsidRPr="00620FFF">
              <w:rPr>
                <w:sz w:val="18"/>
                <w:szCs w:val="18"/>
                <w:lang w:val="cs-CZ"/>
              </w:rPr>
              <w:t>Participace)</w:t>
            </w:r>
            <w:r>
              <w:rPr>
                <w:sz w:val="18"/>
                <w:szCs w:val="18"/>
                <w:lang w:val="cs-CZ"/>
              </w:rPr>
              <w:t>, zejména např</w:t>
            </w:r>
            <w:r w:rsidR="00FB39A6">
              <w:rPr>
                <w:sz w:val="18"/>
                <w:szCs w:val="18"/>
                <w:lang w:val="cs-CZ"/>
              </w:rPr>
              <w:t>íklad</w:t>
            </w:r>
            <w:r>
              <w:rPr>
                <w:sz w:val="18"/>
                <w:szCs w:val="18"/>
                <w:lang w:val="cs-CZ"/>
              </w:rPr>
              <w:t xml:space="preserve"> zástavní smlouva či ručitelské prohlášení</w:t>
            </w:r>
            <w:r w:rsidRPr="00620FFF">
              <w:rPr>
                <w:sz w:val="18"/>
                <w:szCs w:val="18"/>
                <w:lang w:val="cs-CZ"/>
              </w:rPr>
              <w:t xml:space="preserve">. Zajišťovací dokument </w:t>
            </w:r>
            <w:r>
              <w:rPr>
                <w:sz w:val="18"/>
                <w:szCs w:val="18"/>
                <w:lang w:val="cs-CZ"/>
              </w:rPr>
              <w:t xml:space="preserve">mimo jiné </w:t>
            </w:r>
            <w:r w:rsidRPr="00620FFF">
              <w:rPr>
                <w:sz w:val="18"/>
                <w:szCs w:val="18"/>
                <w:lang w:val="cs-CZ"/>
              </w:rPr>
              <w:t>upravuje podmínky, za kterých je možné realizovat Zajištění.</w:t>
            </w:r>
          </w:p>
        </w:tc>
      </w:tr>
      <w:tr w:rsidR="002A261D" w:rsidRPr="00273744" w14:paraId="45680AB7" w14:textId="77777777" w:rsidTr="00273744">
        <w:tc>
          <w:tcPr>
            <w:tcW w:w="1560" w:type="dxa"/>
          </w:tcPr>
          <w:p w14:paraId="6F713EE1" w14:textId="67BE2547" w:rsidR="002A261D" w:rsidRPr="00273744" w:rsidRDefault="002A261D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Zásady ochrany osobních údajů</w:t>
            </w:r>
          </w:p>
        </w:tc>
        <w:tc>
          <w:tcPr>
            <w:tcW w:w="3683" w:type="dxa"/>
          </w:tcPr>
          <w:p w14:paraId="66863339" w14:textId="22388F0F" w:rsidR="002A261D" w:rsidRDefault="002A261D" w:rsidP="00166CDF">
            <w:pPr>
              <w:pStyle w:val="Nadpis2"/>
              <w:numPr>
                <w:ilvl w:val="0"/>
                <w:numId w:val="0"/>
              </w:num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Zásady ochrany osobních údajů zveřejněné na Platformě.</w:t>
            </w:r>
          </w:p>
        </w:tc>
      </w:tr>
    </w:tbl>
    <w:p w14:paraId="5042BAFE" w14:textId="77777777" w:rsidR="00CC0FFD" w:rsidRPr="00273744" w:rsidRDefault="00CC0FFD" w:rsidP="00CC0FFD">
      <w:pPr>
        <w:pStyle w:val="Nadpis1"/>
        <w:numPr>
          <w:ilvl w:val="0"/>
          <w:numId w:val="0"/>
        </w:numPr>
        <w:spacing w:before="0"/>
        <w:ind w:left="426"/>
        <w:rPr>
          <w:b w:val="0"/>
          <w:szCs w:val="18"/>
          <w:lang w:val="cs-CZ"/>
        </w:rPr>
      </w:pPr>
    </w:p>
    <w:p w14:paraId="769FF634" w14:textId="21F85E34" w:rsidR="00E915B0" w:rsidRPr="00273744" w:rsidRDefault="00C822C6" w:rsidP="006A5EEA">
      <w:pPr>
        <w:pStyle w:val="Nadpis1"/>
        <w:tabs>
          <w:tab w:val="clear" w:pos="709"/>
          <w:tab w:val="num" w:pos="426"/>
        </w:tabs>
        <w:spacing w:before="0"/>
        <w:ind w:left="426" w:hanging="426"/>
        <w:rPr>
          <w:bCs/>
          <w:szCs w:val="18"/>
          <w:lang w:val="cs-CZ"/>
        </w:rPr>
      </w:pPr>
      <w:r w:rsidRPr="00273744">
        <w:rPr>
          <w:bCs/>
          <w:szCs w:val="18"/>
          <w:lang w:val="cs-CZ"/>
        </w:rPr>
        <w:t>Předmět a povaha služeb</w:t>
      </w:r>
    </w:p>
    <w:p w14:paraId="71B5298A" w14:textId="7E0127FE" w:rsidR="00E915B0" w:rsidRPr="00273744" w:rsidRDefault="00C822C6" w:rsidP="00C822C6">
      <w:pPr>
        <w:pStyle w:val="Nadpis2"/>
        <w:tabs>
          <w:tab w:val="clear" w:pos="709"/>
          <w:tab w:val="num" w:pos="426"/>
        </w:tabs>
        <w:ind w:left="426" w:hanging="426"/>
        <w:rPr>
          <w:sz w:val="18"/>
          <w:szCs w:val="18"/>
          <w:lang w:val="cs-CZ"/>
        </w:rPr>
      </w:pPr>
      <w:proofErr w:type="spellStart"/>
      <w:r w:rsidRPr="00273744">
        <w:rPr>
          <w:sz w:val="18"/>
          <w:szCs w:val="18"/>
          <w:lang w:val="cs-CZ"/>
        </w:rPr>
        <w:t>Bankee</w:t>
      </w:r>
      <w:proofErr w:type="spellEnd"/>
      <w:r w:rsidRPr="00273744">
        <w:rPr>
          <w:sz w:val="18"/>
          <w:szCs w:val="18"/>
          <w:lang w:val="cs-CZ"/>
        </w:rPr>
        <w:t xml:space="preserve"> v rámci své činnosti poskytuje výhradně </w:t>
      </w:r>
      <w:r w:rsidR="001B7321" w:rsidRPr="00273744">
        <w:rPr>
          <w:sz w:val="18"/>
          <w:szCs w:val="18"/>
          <w:lang w:val="cs-CZ"/>
        </w:rPr>
        <w:t xml:space="preserve">zajištěné </w:t>
      </w:r>
      <w:r w:rsidRPr="00273744">
        <w:rPr>
          <w:sz w:val="18"/>
          <w:szCs w:val="18"/>
          <w:lang w:val="cs-CZ"/>
        </w:rPr>
        <w:t>účelové</w:t>
      </w:r>
      <w:r w:rsidR="001B7321" w:rsidRPr="00273744">
        <w:rPr>
          <w:sz w:val="18"/>
          <w:szCs w:val="18"/>
          <w:lang w:val="cs-CZ"/>
        </w:rPr>
        <w:t xml:space="preserve"> </w:t>
      </w:r>
      <w:r w:rsidRPr="00273744">
        <w:rPr>
          <w:sz w:val="18"/>
          <w:szCs w:val="18"/>
          <w:lang w:val="cs-CZ"/>
        </w:rPr>
        <w:t>podnikatelské úvěry</w:t>
      </w:r>
      <w:r w:rsidR="00FB39A6">
        <w:rPr>
          <w:sz w:val="18"/>
          <w:szCs w:val="18"/>
          <w:lang w:val="cs-CZ"/>
        </w:rPr>
        <w:t xml:space="preserve"> </w:t>
      </w:r>
      <w:r w:rsidRPr="00273744">
        <w:rPr>
          <w:sz w:val="18"/>
          <w:szCs w:val="18"/>
          <w:lang w:val="cs-CZ"/>
        </w:rPr>
        <w:t>právnickým osobám se sídlem v EU. Předmětem služeb ve vztahu k Investorovi je pak:</w:t>
      </w:r>
    </w:p>
    <w:p w14:paraId="12F9E403" w14:textId="4811E614" w:rsidR="00E915B0" w:rsidRPr="00273744" w:rsidRDefault="00C822C6" w:rsidP="00C822C6">
      <w:pPr>
        <w:pStyle w:val="Nadpis2"/>
        <w:numPr>
          <w:ilvl w:val="0"/>
          <w:numId w:val="2"/>
        </w:numPr>
        <w:ind w:left="709" w:hanging="283"/>
        <w:rPr>
          <w:sz w:val="18"/>
          <w:szCs w:val="18"/>
          <w:lang w:val="cs-CZ"/>
        </w:rPr>
      </w:pPr>
      <w:r w:rsidRPr="00273744">
        <w:rPr>
          <w:sz w:val="18"/>
          <w:szCs w:val="18"/>
          <w:lang w:val="cs-CZ"/>
        </w:rPr>
        <w:t>Poskytnutí nabídky Úvěrů za účelem možné Participace, a to včetně souvisejících informací (podmínky Úvěr</w:t>
      </w:r>
      <w:r w:rsidR="00BA64F2" w:rsidRPr="00273744">
        <w:rPr>
          <w:sz w:val="18"/>
          <w:szCs w:val="18"/>
          <w:lang w:val="cs-CZ"/>
        </w:rPr>
        <w:t>u</w:t>
      </w:r>
      <w:r w:rsidRPr="00273744">
        <w:rPr>
          <w:sz w:val="18"/>
          <w:szCs w:val="18"/>
          <w:lang w:val="cs-CZ"/>
        </w:rPr>
        <w:t xml:space="preserve"> vč</w:t>
      </w:r>
      <w:r w:rsidR="00FB39A6">
        <w:rPr>
          <w:sz w:val="18"/>
          <w:szCs w:val="18"/>
          <w:lang w:val="cs-CZ"/>
        </w:rPr>
        <w:t xml:space="preserve">. </w:t>
      </w:r>
      <w:r w:rsidR="00BA64F2" w:rsidRPr="00273744">
        <w:rPr>
          <w:sz w:val="18"/>
          <w:szCs w:val="18"/>
          <w:lang w:val="cs-CZ"/>
        </w:rPr>
        <w:t xml:space="preserve">jeho </w:t>
      </w:r>
      <w:r w:rsidRPr="00273744">
        <w:rPr>
          <w:sz w:val="18"/>
          <w:szCs w:val="18"/>
          <w:lang w:val="cs-CZ"/>
        </w:rPr>
        <w:t>účelu, obchodní plán či jiné materiály poskytnuté Úvěrovaným</w:t>
      </w:r>
      <w:r w:rsidR="00BA64F2" w:rsidRPr="00273744">
        <w:rPr>
          <w:sz w:val="18"/>
          <w:szCs w:val="18"/>
          <w:lang w:val="cs-CZ"/>
        </w:rPr>
        <w:t xml:space="preserve"> apod.</w:t>
      </w:r>
      <w:r w:rsidRPr="00273744">
        <w:rPr>
          <w:sz w:val="18"/>
          <w:szCs w:val="18"/>
          <w:lang w:val="cs-CZ"/>
        </w:rPr>
        <w:t>), které umožní Investorovi učinit kvalifikované rozhodnutí;</w:t>
      </w:r>
    </w:p>
    <w:p w14:paraId="17ACF40D" w14:textId="01D17C28" w:rsidR="00E915B0" w:rsidRPr="00273744" w:rsidRDefault="00C822C6" w:rsidP="00C822C6">
      <w:pPr>
        <w:pStyle w:val="Nadpis2"/>
        <w:numPr>
          <w:ilvl w:val="0"/>
          <w:numId w:val="2"/>
        </w:numPr>
        <w:ind w:left="709" w:hanging="283"/>
        <w:rPr>
          <w:sz w:val="18"/>
          <w:szCs w:val="18"/>
          <w:lang w:val="cs-CZ"/>
        </w:rPr>
      </w:pPr>
      <w:r w:rsidRPr="00273744">
        <w:rPr>
          <w:sz w:val="18"/>
          <w:szCs w:val="18"/>
          <w:lang w:val="cs-CZ"/>
        </w:rPr>
        <w:t>Postoupení (prodej) konkrétní Participace na základě Rámcové smlouvy a Objednávky Investora; a</w:t>
      </w:r>
    </w:p>
    <w:p w14:paraId="4E61A5E5" w14:textId="50FEF6BE" w:rsidR="00C822C6" w:rsidRPr="00273744" w:rsidRDefault="00C822C6" w:rsidP="00C822C6">
      <w:pPr>
        <w:pStyle w:val="Nadpis2"/>
        <w:numPr>
          <w:ilvl w:val="0"/>
          <w:numId w:val="2"/>
        </w:numPr>
        <w:ind w:left="709" w:hanging="283"/>
        <w:rPr>
          <w:sz w:val="18"/>
          <w:szCs w:val="18"/>
          <w:lang w:val="cs-CZ"/>
        </w:rPr>
      </w:pPr>
      <w:r w:rsidRPr="00273744">
        <w:rPr>
          <w:sz w:val="18"/>
          <w:szCs w:val="18"/>
          <w:lang w:val="cs-CZ"/>
        </w:rPr>
        <w:t>Správa Participac</w:t>
      </w:r>
      <w:r w:rsidR="002F245F">
        <w:rPr>
          <w:sz w:val="18"/>
          <w:szCs w:val="18"/>
          <w:lang w:val="cs-CZ"/>
        </w:rPr>
        <w:t>í</w:t>
      </w:r>
      <w:r w:rsidRPr="00273744">
        <w:rPr>
          <w:sz w:val="18"/>
          <w:szCs w:val="18"/>
          <w:lang w:val="cs-CZ"/>
        </w:rPr>
        <w:t xml:space="preserve"> </w:t>
      </w:r>
      <w:r w:rsidR="00BA64F2" w:rsidRPr="00273744">
        <w:rPr>
          <w:sz w:val="18"/>
          <w:szCs w:val="18"/>
          <w:lang w:val="cs-CZ"/>
        </w:rPr>
        <w:t xml:space="preserve">jménem </w:t>
      </w:r>
      <w:proofErr w:type="spellStart"/>
      <w:r w:rsidR="00BA64F2" w:rsidRPr="00273744">
        <w:rPr>
          <w:sz w:val="18"/>
          <w:szCs w:val="18"/>
          <w:lang w:val="cs-CZ"/>
        </w:rPr>
        <w:t>Bankee</w:t>
      </w:r>
      <w:proofErr w:type="spellEnd"/>
      <w:r w:rsidR="00BA64F2" w:rsidRPr="00273744">
        <w:rPr>
          <w:sz w:val="18"/>
          <w:szCs w:val="18"/>
          <w:lang w:val="cs-CZ"/>
        </w:rPr>
        <w:t xml:space="preserve"> na účet Investora, a to </w:t>
      </w:r>
      <w:r w:rsidRPr="00273744">
        <w:rPr>
          <w:sz w:val="18"/>
          <w:szCs w:val="18"/>
          <w:lang w:val="cs-CZ"/>
        </w:rPr>
        <w:t xml:space="preserve">v rozsahu dle Rámcové Smlouvy a těchto </w:t>
      </w:r>
      <w:r w:rsidR="00BA64F2" w:rsidRPr="00273744">
        <w:rPr>
          <w:sz w:val="18"/>
          <w:szCs w:val="18"/>
          <w:lang w:val="cs-CZ"/>
        </w:rPr>
        <w:t>O</w:t>
      </w:r>
      <w:r w:rsidRPr="00273744">
        <w:rPr>
          <w:sz w:val="18"/>
          <w:szCs w:val="18"/>
          <w:lang w:val="cs-CZ"/>
        </w:rPr>
        <w:t xml:space="preserve">bchodních podmínek. </w:t>
      </w:r>
    </w:p>
    <w:p w14:paraId="7F54050C" w14:textId="7A0A15DE" w:rsidR="007E14FA" w:rsidRDefault="00BA64F2" w:rsidP="00124D61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proofErr w:type="spellStart"/>
      <w:r w:rsidRPr="00273744">
        <w:rPr>
          <w:sz w:val="18"/>
          <w:szCs w:val="18"/>
          <w:lang w:val="cs-CZ"/>
        </w:rPr>
        <w:t>Bankee</w:t>
      </w:r>
      <w:proofErr w:type="spellEnd"/>
      <w:r w:rsidRPr="00273744">
        <w:rPr>
          <w:sz w:val="18"/>
          <w:szCs w:val="18"/>
          <w:lang w:val="cs-CZ"/>
        </w:rPr>
        <w:t xml:space="preserve"> nevykonává ani nezamýšlí vykonávat činnost, která by </w:t>
      </w:r>
      <w:r w:rsidRPr="00273744">
        <w:rPr>
          <w:sz w:val="18"/>
          <w:szCs w:val="18"/>
          <w:lang w:val="cs-CZ"/>
        </w:rPr>
        <w:lastRenderedPageBreak/>
        <w:t xml:space="preserve">spočívala v poskytování investičních rad či doporučení, shromažďování prostředků za účelem jejich společného investování nebo poskytování služeb skupinového financování pro podniky (tzv. crowdfunding). Činnost </w:t>
      </w:r>
      <w:proofErr w:type="spellStart"/>
      <w:r w:rsidRPr="00273744">
        <w:rPr>
          <w:sz w:val="18"/>
          <w:szCs w:val="18"/>
          <w:lang w:val="cs-CZ"/>
        </w:rPr>
        <w:t>Bankee</w:t>
      </w:r>
      <w:proofErr w:type="spellEnd"/>
      <w:r w:rsidRPr="00273744">
        <w:rPr>
          <w:sz w:val="18"/>
          <w:szCs w:val="18"/>
          <w:lang w:val="cs-CZ"/>
        </w:rPr>
        <w:t xml:space="preserve"> se omezuje výhradně na nabídku</w:t>
      </w:r>
      <w:r w:rsidR="006A5EEA" w:rsidRPr="00273744">
        <w:rPr>
          <w:sz w:val="18"/>
          <w:szCs w:val="18"/>
          <w:lang w:val="cs-CZ"/>
        </w:rPr>
        <w:t>,</w:t>
      </w:r>
      <w:r w:rsidRPr="00273744">
        <w:rPr>
          <w:sz w:val="18"/>
          <w:szCs w:val="18"/>
          <w:lang w:val="cs-CZ"/>
        </w:rPr>
        <w:t xml:space="preserve"> postupování </w:t>
      </w:r>
      <w:r w:rsidR="006A5EEA" w:rsidRPr="00273744">
        <w:rPr>
          <w:sz w:val="18"/>
          <w:szCs w:val="18"/>
          <w:lang w:val="cs-CZ"/>
        </w:rPr>
        <w:t xml:space="preserve">a </w:t>
      </w:r>
      <w:r w:rsidR="002F245F">
        <w:rPr>
          <w:sz w:val="18"/>
          <w:szCs w:val="18"/>
          <w:lang w:val="cs-CZ"/>
        </w:rPr>
        <w:t>S</w:t>
      </w:r>
      <w:r w:rsidR="006A5EEA" w:rsidRPr="00273744">
        <w:rPr>
          <w:sz w:val="18"/>
          <w:szCs w:val="18"/>
          <w:lang w:val="cs-CZ"/>
        </w:rPr>
        <w:t xml:space="preserve">právu </w:t>
      </w:r>
      <w:r w:rsidRPr="00273744">
        <w:rPr>
          <w:sz w:val="18"/>
          <w:szCs w:val="18"/>
          <w:lang w:val="cs-CZ"/>
        </w:rPr>
        <w:t>Participac</w:t>
      </w:r>
      <w:r w:rsidR="006A5EEA" w:rsidRPr="00273744">
        <w:rPr>
          <w:sz w:val="18"/>
          <w:szCs w:val="18"/>
          <w:lang w:val="cs-CZ"/>
        </w:rPr>
        <w:t>í</w:t>
      </w:r>
      <w:r w:rsidRPr="00273744">
        <w:rPr>
          <w:sz w:val="18"/>
          <w:szCs w:val="18"/>
          <w:lang w:val="cs-CZ"/>
        </w:rPr>
        <w:t>, přič</w:t>
      </w:r>
      <w:r w:rsidR="006A5EEA" w:rsidRPr="00273744">
        <w:rPr>
          <w:sz w:val="18"/>
          <w:szCs w:val="18"/>
          <w:lang w:val="cs-CZ"/>
        </w:rPr>
        <w:t>emž mezi Investorem a Úvěrovaným na základě postoupení Participace vzniká přímý závazkový vztah</w:t>
      </w:r>
      <w:r w:rsidRPr="00273744">
        <w:rPr>
          <w:sz w:val="18"/>
          <w:szCs w:val="18"/>
          <w:lang w:val="cs-CZ"/>
        </w:rPr>
        <w:t>.</w:t>
      </w:r>
    </w:p>
    <w:p w14:paraId="4083BC6D" w14:textId="77777777" w:rsidR="00124D61" w:rsidRPr="00124D61" w:rsidRDefault="00124D61" w:rsidP="00124D61">
      <w:pPr>
        <w:spacing w:before="0" w:after="0"/>
        <w:rPr>
          <w:sz w:val="18"/>
          <w:szCs w:val="18"/>
        </w:rPr>
      </w:pPr>
    </w:p>
    <w:p w14:paraId="55528C41" w14:textId="0344D837" w:rsidR="007E14FA" w:rsidRPr="00273744" w:rsidRDefault="00B60D42" w:rsidP="006A5EEA">
      <w:pPr>
        <w:pStyle w:val="Nadpis1"/>
        <w:tabs>
          <w:tab w:val="clear" w:pos="709"/>
          <w:tab w:val="num" w:pos="426"/>
        </w:tabs>
        <w:spacing w:before="0"/>
        <w:ind w:left="426" w:hanging="426"/>
        <w:rPr>
          <w:bCs/>
          <w:szCs w:val="18"/>
          <w:lang w:val="cs-CZ"/>
        </w:rPr>
      </w:pPr>
      <w:r w:rsidRPr="00273744">
        <w:rPr>
          <w:bCs/>
          <w:szCs w:val="18"/>
          <w:lang w:val="cs-CZ"/>
        </w:rPr>
        <w:t>využití platformy</w:t>
      </w:r>
      <w:r w:rsidR="00AC2387" w:rsidRPr="00273744">
        <w:rPr>
          <w:bCs/>
          <w:szCs w:val="18"/>
          <w:lang w:val="cs-CZ"/>
        </w:rPr>
        <w:t xml:space="preserve"> a rozsah uveřejněných informací</w:t>
      </w:r>
    </w:p>
    <w:p w14:paraId="21872212" w14:textId="467206E2" w:rsidR="00AC2387" w:rsidRPr="00273744" w:rsidRDefault="00AC2387" w:rsidP="006A5EEA">
      <w:pPr>
        <w:pStyle w:val="Nadpis2"/>
        <w:tabs>
          <w:tab w:val="clear" w:pos="709"/>
          <w:tab w:val="num" w:pos="426"/>
        </w:tabs>
        <w:ind w:left="426" w:hanging="426"/>
        <w:rPr>
          <w:sz w:val="18"/>
          <w:szCs w:val="18"/>
          <w:lang w:val="cs-CZ"/>
        </w:rPr>
      </w:pPr>
      <w:proofErr w:type="spellStart"/>
      <w:r w:rsidRPr="00273744">
        <w:rPr>
          <w:sz w:val="18"/>
          <w:szCs w:val="18"/>
          <w:lang w:val="cs-CZ"/>
        </w:rPr>
        <w:t>Bankee</w:t>
      </w:r>
      <w:proofErr w:type="spellEnd"/>
      <w:r w:rsidRPr="00273744">
        <w:rPr>
          <w:sz w:val="18"/>
          <w:szCs w:val="18"/>
          <w:lang w:val="cs-CZ"/>
        </w:rPr>
        <w:t xml:space="preserve"> využívá Platformu pro uveřejnění Úvěrů, k nimž lze prostřednictvím Platformy nabývat příslušné Participace na základě Objednávek učiněných Investorem.</w:t>
      </w:r>
    </w:p>
    <w:p w14:paraId="62D4F9E2" w14:textId="606A8AFE" w:rsidR="00AC2387" w:rsidRPr="00273744" w:rsidRDefault="00AC2387" w:rsidP="00AC2387">
      <w:pPr>
        <w:pStyle w:val="Nadpis2"/>
        <w:tabs>
          <w:tab w:val="clear" w:pos="709"/>
          <w:tab w:val="num" w:pos="426"/>
        </w:tabs>
        <w:ind w:left="426" w:hanging="426"/>
        <w:rPr>
          <w:sz w:val="18"/>
          <w:szCs w:val="18"/>
          <w:lang w:val="cs-CZ"/>
        </w:rPr>
      </w:pPr>
      <w:proofErr w:type="spellStart"/>
      <w:r w:rsidRPr="00273744">
        <w:rPr>
          <w:sz w:val="18"/>
          <w:szCs w:val="18"/>
          <w:lang w:val="cs-CZ"/>
        </w:rPr>
        <w:t>Bankee</w:t>
      </w:r>
      <w:proofErr w:type="spellEnd"/>
      <w:r w:rsidRPr="00273744">
        <w:rPr>
          <w:sz w:val="18"/>
          <w:szCs w:val="18"/>
          <w:lang w:val="cs-CZ"/>
        </w:rPr>
        <w:t xml:space="preserve"> uveřejňuje klíčové parametry </w:t>
      </w:r>
      <w:r w:rsidR="006805F7" w:rsidRPr="00273744">
        <w:rPr>
          <w:sz w:val="18"/>
          <w:szCs w:val="18"/>
          <w:lang w:val="cs-CZ"/>
        </w:rPr>
        <w:t>Ú</w:t>
      </w:r>
      <w:r w:rsidRPr="00273744">
        <w:rPr>
          <w:sz w:val="18"/>
          <w:szCs w:val="18"/>
          <w:lang w:val="cs-CZ"/>
        </w:rPr>
        <w:t>věrů, zejména celkovou výši</w:t>
      </w:r>
      <w:r w:rsidR="006805F7" w:rsidRPr="00273744">
        <w:rPr>
          <w:sz w:val="18"/>
          <w:szCs w:val="18"/>
          <w:lang w:val="cs-CZ"/>
        </w:rPr>
        <w:t xml:space="preserve"> Úvěru a jeho splatnost</w:t>
      </w:r>
      <w:r w:rsidRPr="00273744">
        <w:rPr>
          <w:sz w:val="18"/>
          <w:szCs w:val="18"/>
          <w:lang w:val="cs-CZ"/>
        </w:rPr>
        <w:t xml:space="preserve">, </w:t>
      </w:r>
      <w:r w:rsidR="006805F7" w:rsidRPr="00273744">
        <w:rPr>
          <w:sz w:val="18"/>
          <w:szCs w:val="18"/>
          <w:lang w:val="cs-CZ"/>
        </w:rPr>
        <w:t>úrokovou sazbu, způsob a rozsah zajištění (vč</w:t>
      </w:r>
      <w:r w:rsidR="00FB39A6">
        <w:rPr>
          <w:sz w:val="18"/>
          <w:szCs w:val="18"/>
          <w:lang w:val="cs-CZ"/>
        </w:rPr>
        <w:t>.</w:t>
      </w:r>
      <w:r w:rsidR="006805F7" w:rsidRPr="00273744">
        <w:rPr>
          <w:sz w:val="18"/>
          <w:szCs w:val="18"/>
          <w:lang w:val="cs-CZ"/>
        </w:rPr>
        <w:t xml:space="preserve"> ukazatele LTV v případě Úvěrů zajištěných nemovitostmi), jakož i další relevantní informace o Úvěrovaném. </w:t>
      </w:r>
      <w:proofErr w:type="spellStart"/>
      <w:r w:rsidR="006805F7" w:rsidRPr="00273744">
        <w:rPr>
          <w:sz w:val="18"/>
          <w:szCs w:val="18"/>
          <w:lang w:val="cs-CZ"/>
        </w:rPr>
        <w:t>Bankee</w:t>
      </w:r>
      <w:proofErr w:type="spellEnd"/>
      <w:r w:rsidR="006805F7" w:rsidRPr="00273744">
        <w:rPr>
          <w:sz w:val="18"/>
          <w:szCs w:val="18"/>
          <w:lang w:val="cs-CZ"/>
        </w:rPr>
        <w:t xml:space="preserve"> však neodpovídá za pravdivost a úplnost informací poskytnutých Úvěrovaným, zejména ve vztahu k jeho podnikatelským záměrům a jejich proveditelnosti (business plán), historickým finančním ukazatelům či jiným obdobným informacím nebo dokumentům. </w:t>
      </w:r>
      <w:proofErr w:type="spellStart"/>
      <w:r w:rsidR="006805F7" w:rsidRPr="00273744">
        <w:rPr>
          <w:sz w:val="18"/>
          <w:szCs w:val="18"/>
          <w:lang w:val="cs-CZ"/>
        </w:rPr>
        <w:t>Bankee</w:t>
      </w:r>
      <w:proofErr w:type="spellEnd"/>
      <w:r w:rsidR="006805F7" w:rsidRPr="00273744">
        <w:rPr>
          <w:sz w:val="18"/>
          <w:szCs w:val="18"/>
          <w:lang w:val="cs-CZ"/>
        </w:rPr>
        <w:t xml:space="preserve"> dále nezveřejňuje ani na žádost Investorů neposkytuje smluvní dokumentaci související s Úvěry (např. Úvěrovou smlouvu či dokumenty k Zajištění). </w:t>
      </w:r>
      <w:r w:rsidR="00C41C57" w:rsidRPr="00273744">
        <w:rPr>
          <w:sz w:val="18"/>
          <w:szCs w:val="18"/>
          <w:lang w:val="cs-CZ"/>
        </w:rPr>
        <w:t>K</w:t>
      </w:r>
      <w:r w:rsidR="007114A4">
        <w:rPr>
          <w:sz w:val="18"/>
          <w:szCs w:val="18"/>
          <w:lang w:val="cs-CZ"/>
        </w:rPr>
        <w:t> </w:t>
      </w:r>
      <w:r w:rsidR="00C41C57" w:rsidRPr="00273744">
        <w:rPr>
          <w:sz w:val="18"/>
          <w:szCs w:val="18"/>
          <w:lang w:val="cs-CZ"/>
        </w:rPr>
        <w:t>zobrazení</w:t>
      </w:r>
      <w:r w:rsidR="007114A4">
        <w:rPr>
          <w:sz w:val="18"/>
          <w:szCs w:val="18"/>
          <w:lang w:val="cs-CZ"/>
        </w:rPr>
        <w:t xml:space="preserve"> vybraných parametrů některých</w:t>
      </w:r>
      <w:r w:rsidR="00C41C57" w:rsidRPr="00273744">
        <w:rPr>
          <w:sz w:val="18"/>
          <w:szCs w:val="18"/>
          <w:lang w:val="cs-CZ"/>
        </w:rPr>
        <w:t xml:space="preserve"> Úvěrů nabízených k participaci není třeba registrace na Platformě</w:t>
      </w:r>
      <w:r w:rsidR="007114A4">
        <w:rPr>
          <w:sz w:val="18"/>
          <w:szCs w:val="18"/>
          <w:lang w:val="cs-CZ"/>
        </w:rPr>
        <w:t xml:space="preserve"> </w:t>
      </w:r>
      <w:r w:rsidR="007114A4">
        <w:rPr>
          <w:sz w:val="18"/>
          <w:szCs w:val="18"/>
          <w:lang w:val="cs-CZ"/>
        </w:rPr>
        <w:br/>
        <w:t>(tzv. promo náhledy), avšak pro zobrazení kompletních informací ke všem nabízeným Úvěrům je nutná registrace</w:t>
      </w:r>
      <w:r w:rsidR="00C41C57" w:rsidRPr="00273744">
        <w:rPr>
          <w:sz w:val="18"/>
          <w:szCs w:val="18"/>
          <w:lang w:val="cs-CZ"/>
        </w:rPr>
        <w:t>.</w:t>
      </w:r>
    </w:p>
    <w:p w14:paraId="5ADB6CDB" w14:textId="77F33ACD" w:rsidR="007E14FA" w:rsidRDefault="006805F7" w:rsidP="006A5EEA">
      <w:pPr>
        <w:pStyle w:val="Nadpis2"/>
        <w:tabs>
          <w:tab w:val="clear" w:pos="709"/>
          <w:tab w:val="num" w:pos="426"/>
        </w:tabs>
        <w:ind w:left="426" w:hanging="426"/>
        <w:rPr>
          <w:sz w:val="18"/>
          <w:szCs w:val="18"/>
          <w:lang w:val="cs-CZ"/>
        </w:rPr>
      </w:pPr>
      <w:r w:rsidRPr="00273744">
        <w:rPr>
          <w:sz w:val="18"/>
          <w:szCs w:val="18"/>
          <w:lang w:val="cs-CZ"/>
        </w:rPr>
        <w:t>Rozsah poskytnutých informací má za cíl poskytnout</w:t>
      </w:r>
      <w:r>
        <w:rPr>
          <w:sz w:val="18"/>
          <w:szCs w:val="18"/>
          <w:lang w:val="cs-CZ"/>
        </w:rPr>
        <w:t xml:space="preserve"> Investorům dostatečné podklady pro učinění kvalifikovaného rozhodnutí o tom, zda přistoupit k realizaci Participace a nabýt tak dílčí pohledávku z Úvěrové smlouvy. </w:t>
      </w:r>
      <w:r w:rsidR="00D77B85">
        <w:rPr>
          <w:sz w:val="18"/>
          <w:szCs w:val="18"/>
          <w:lang w:val="cs-CZ"/>
        </w:rPr>
        <w:t>Každý Investor by měl důkladně zvážit případnou Participaci s ohledem na svou finanční situaci, toleranci rizika a další relevantní faktory (např. daňové a právní aspekty).</w:t>
      </w:r>
    </w:p>
    <w:p w14:paraId="15056591" w14:textId="2B33A85C" w:rsidR="00C41C57" w:rsidRDefault="00C41C57" w:rsidP="0079198F">
      <w:pPr>
        <w:pStyle w:val="Nadpis2"/>
        <w:tabs>
          <w:tab w:val="clear" w:pos="709"/>
          <w:tab w:val="num" w:pos="426"/>
        </w:tabs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Pro plné využití Platformy včetně možnosti realizace Objednávky (tj. nabytí Participace), jakož i sledování již nabytých Participací je nutná registrace</w:t>
      </w:r>
      <w:r w:rsidR="00733C6D">
        <w:rPr>
          <w:sz w:val="18"/>
          <w:szCs w:val="18"/>
          <w:lang w:val="cs-CZ"/>
        </w:rPr>
        <w:t xml:space="preserve"> a ověření bankovního účtu Investora</w:t>
      </w:r>
      <w:r>
        <w:rPr>
          <w:sz w:val="18"/>
          <w:szCs w:val="18"/>
          <w:lang w:val="cs-CZ"/>
        </w:rPr>
        <w:t>.</w:t>
      </w:r>
    </w:p>
    <w:p w14:paraId="518DEE07" w14:textId="21CB3ECB" w:rsidR="00A34CDC" w:rsidRPr="00A34CDC" w:rsidRDefault="00C41C57" w:rsidP="00A34CDC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bookmarkStart w:id="0" w:name="_Ref214009434"/>
      <w:r>
        <w:rPr>
          <w:sz w:val="18"/>
          <w:szCs w:val="18"/>
          <w:lang w:val="cs-CZ"/>
        </w:rPr>
        <w:t>Investor je povinen užívat Platform</w:t>
      </w:r>
      <w:r w:rsidR="00733C6D">
        <w:rPr>
          <w:sz w:val="18"/>
          <w:szCs w:val="18"/>
          <w:lang w:val="cs-CZ"/>
        </w:rPr>
        <w:t>u</w:t>
      </w:r>
      <w:r>
        <w:rPr>
          <w:sz w:val="18"/>
          <w:szCs w:val="18"/>
          <w:lang w:val="cs-CZ"/>
        </w:rPr>
        <w:t xml:space="preserve"> výhradně v souladu s právními předpisy a těmito Obchodními podmínkami. Investor není oprávněn či</w:t>
      </w:r>
      <w:r w:rsidR="00A61F59">
        <w:rPr>
          <w:sz w:val="18"/>
          <w:szCs w:val="18"/>
          <w:lang w:val="cs-CZ"/>
        </w:rPr>
        <w:t xml:space="preserve">nit jakékoli kroky, </w:t>
      </w:r>
      <w:r w:rsidR="00FB39A6">
        <w:rPr>
          <w:sz w:val="18"/>
          <w:szCs w:val="18"/>
          <w:lang w:val="cs-CZ"/>
        </w:rPr>
        <w:t xml:space="preserve">které </w:t>
      </w:r>
      <w:r w:rsidR="00A61F59">
        <w:rPr>
          <w:sz w:val="18"/>
          <w:szCs w:val="18"/>
          <w:lang w:val="cs-CZ"/>
        </w:rPr>
        <w:t xml:space="preserve"> by mohlo dojít </w:t>
      </w:r>
      <w:r w:rsidR="00FB39A6">
        <w:rPr>
          <w:sz w:val="18"/>
          <w:szCs w:val="18"/>
          <w:lang w:val="cs-CZ"/>
        </w:rPr>
        <w:t>vést</w:t>
      </w:r>
      <w:r w:rsidR="00A61F59">
        <w:rPr>
          <w:sz w:val="18"/>
          <w:szCs w:val="18"/>
          <w:lang w:val="cs-CZ"/>
        </w:rPr>
        <w:t xml:space="preserve"> zneužití informací na Platformě (vč. </w:t>
      </w:r>
      <w:proofErr w:type="spellStart"/>
      <w:r w:rsidR="00A61F59">
        <w:rPr>
          <w:sz w:val="18"/>
          <w:szCs w:val="18"/>
          <w:lang w:val="cs-CZ"/>
        </w:rPr>
        <w:t>nekalosoutěžního</w:t>
      </w:r>
      <w:proofErr w:type="spellEnd"/>
      <w:r w:rsidR="00A61F59">
        <w:rPr>
          <w:sz w:val="18"/>
          <w:szCs w:val="18"/>
          <w:lang w:val="cs-CZ"/>
        </w:rPr>
        <w:t xml:space="preserve"> jednání), omezení přístupu k Platformě (např. přetížením přístupu v důsledku použití skriptů či </w:t>
      </w:r>
      <w:proofErr w:type="spellStart"/>
      <w:r w:rsidR="00A61F59">
        <w:rPr>
          <w:sz w:val="18"/>
          <w:szCs w:val="18"/>
          <w:lang w:val="cs-CZ"/>
        </w:rPr>
        <w:t>DDoS</w:t>
      </w:r>
      <w:proofErr w:type="spellEnd"/>
      <w:r w:rsidR="00A61F59">
        <w:rPr>
          <w:sz w:val="18"/>
          <w:szCs w:val="18"/>
          <w:lang w:val="cs-CZ"/>
        </w:rPr>
        <w:t xml:space="preserve"> nástrojů) či narušení bezpečnosti na ní. Investor je dále povinen zabezpečit odpovídajícím způsobem přihlašovací údaje před zneužitím. </w:t>
      </w:r>
      <w:proofErr w:type="spellStart"/>
      <w:r w:rsidR="00A61F59">
        <w:rPr>
          <w:sz w:val="18"/>
          <w:szCs w:val="18"/>
          <w:lang w:val="cs-CZ"/>
        </w:rPr>
        <w:t>Bankee</w:t>
      </w:r>
      <w:proofErr w:type="spellEnd"/>
      <w:r w:rsidR="00A61F59">
        <w:rPr>
          <w:sz w:val="18"/>
          <w:szCs w:val="18"/>
          <w:lang w:val="cs-CZ"/>
        </w:rPr>
        <w:t xml:space="preserve"> je oprávněna monitorovat provoz Platformy a aktivity Investorů za účelem zajištění bezpečnosti a plynulosti provozu Platformy.</w:t>
      </w:r>
      <w:bookmarkEnd w:id="0"/>
    </w:p>
    <w:p w14:paraId="58F8454D" w14:textId="188251E3" w:rsidR="00422AB2" w:rsidRDefault="00422AB2" w:rsidP="00422AB2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Pro vyloučení pochybností platí, že v</w:t>
      </w:r>
      <w:r w:rsidRPr="00422AB2">
        <w:rPr>
          <w:sz w:val="18"/>
          <w:szCs w:val="18"/>
          <w:lang w:val="cs-CZ"/>
        </w:rPr>
        <w:t>eškerá j</w:t>
      </w:r>
      <w:r>
        <w:rPr>
          <w:sz w:val="18"/>
          <w:szCs w:val="18"/>
          <w:lang w:val="cs-CZ"/>
        </w:rPr>
        <w:t>ednání učiněná na dálku elektronicky prostřednictvím Platformy či jinak (emailem apod.) se považují za jednání učiněná písemnou formou.</w:t>
      </w:r>
      <w:r w:rsidR="00585814">
        <w:rPr>
          <w:sz w:val="18"/>
          <w:szCs w:val="18"/>
          <w:lang w:val="cs-CZ"/>
        </w:rPr>
        <w:t xml:space="preserve"> Sdělení a dokumenty zasílané prostřednictvím Platformy se považují za doručené </w:t>
      </w:r>
      <w:r w:rsidR="00FB39A6">
        <w:rPr>
          <w:sz w:val="18"/>
          <w:szCs w:val="18"/>
          <w:lang w:val="cs-CZ"/>
        </w:rPr>
        <w:t>třetí</w:t>
      </w:r>
      <w:r w:rsidR="00585814">
        <w:rPr>
          <w:sz w:val="18"/>
          <w:szCs w:val="18"/>
          <w:lang w:val="cs-CZ"/>
        </w:rPr>
        <w:t xml:space="preserve"> den po jejich vložení do interní schránky pro doručování, v případě zaslání prostřednictvím e-mailu pak </w:t>
      </w:r>
      <w:r w:rsidR="00FB39A6">
        <w:rPr>
          <w:sz w:val="18"/>
          <w:szCs w:val="18"/>
          <w:lang w:val="cs-CZ"/>
        </w:rPr>
        <w:t xml:space="preserve">třetí </w:t>
      </w:r>
      <w:r w:rsidR="00585814">
        <w:rPr>
          <w:sz w:val="18"/>
          <w:szCs w:val="18"/>
          <w:lang w:val="cs-CZ"/>
        </w:rPr>
        <w:t>den po jejich odeslání.</w:t>
      </w:r>
    </w:p>
    <w:p w14:paraId="54FB648F" w14:textId="55991806" w:rsidR="00A34CDC" w:rsidRPr="00A34CDC" w:rsidRDefault="00A34CDC" w:rsidP="00FB39A6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 w:rsidRPr="00FB39A6">
        <w:rPr>
          <w:sz w:val="18"/>
          <w:szCs w:val="18"/>
          <w:lang w:val="cs-CZ"/>
        </w:rPr>
        <w:t xml:space="preserve">Investor není oprávněn sdělit přihlašovací údaje k Platformě nebo umožnit užívání Platformy jakékoliv třetí osobě. V případě podezření z neoprávněného přístupu na Platformu je Investor povinen změnit přístupové heslo a </w:t>
      </w:r>
      <w:r>
        <w:rPr>
          <w:sz w:val="18"/>
          <w:szCs w:val="18"/>
          <w:lang w:val="cs-CZ"/>
        </w:rPr>
        <w:t xml:space="preserve">bezodkladně </w:t>
      </w:r>
      <w:r w:rsidRPr="00FB39A6">
        <w:rPr>
          <w:sz w:val="18"/>
          <w:szCs w:val="18"/>
          <w:lang w:val="cs-CZ"/>
        </w:rPr>
        <w:t xml:space="preserve">oznámit tuto skutečnost </w:t>
      </w:r>
      <w:proofErr w:type="spellStart"/>
      <w:r w:rsidRPr="00FB39A6">
        <w:rPr>
          <w:sz w:val="18"/>
          <w:szCs w:val="18"/>
          <w:lang w:val="cs-CZ"/>
        </w:rPr>
        <w:t>Bankee</w:t>
      </w:r>
      <w:proofErr w:type="spellEnd"/>
      <w:r w:rsidRPr="00FB39A6">
        <w:rPr>
          <w:sz w:val="18"/>
          <w:szCs w:val="18"/>
          <w:lang w:val="cs-CZ"/>
        </w:rPr>
        <w:t xml:space="preserve">. </w:t>
      </w:r>
      <w:proofErr w:type="spellStart"/>
      <w:r w:rsidRPr="00FB39A6">
        <w:rPr>
          <w:sz w:val="18"/>
          <w:szCs w:val="18"/>
          <w:lang w:val="cs-CZ"/>
        </w:rPr>
        <w:t>Bankee</w:t>
      </w:r>
      <w:proofErr w:type="spellEnd"/>
      <w:r w:rsidRPr="00FB39A6">
        <w:rPr>
          <w:sz w:val="18"/>
          <w:szCs w:val="18"/>
          <w:lang w:val="cs-CZ"/>
        </w:rPr>
        <w:t xml:space="preserve"> nenese jakoukoliv odpovědnost za </w:t>
      </w:r>
      <w:r w:rsidRPr="00FB39A6">
        <w:rPr>
          <w:sz w:val="18"/>
          <w:szCs w:val="18"/>
          <w:lang w:val="cs-CZ"/>
        </w:rPr>
        <w:t>škodu vzniklou zneužitím přihlašovacích údajů</w:t>
      </w:r>
      <w:r>
        <w:rPr>
          <w:sz w:val="18"/>
          <w:szCs w:val="18"/>
          <w:lang w:val="cs-CZ"/>
        </w:rPr>
        <w:t xml:space="preserve">, a to včetně případů, kdy by k úniku přihlašovacích údajů došlo z důvodů na straně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 w:rsidRPr="00FB39A6">
        <w:rPr>
          <w:sz w:val="18"/>
          <w:szCs w:val="18"/>
          <w:lang w:val="cs-CZ"/>
        </w:rPr>
        <w:t>.</w:t>
      </w:r>
    </w:p>
    <w:p w14:paraId="1266CB9F" w14:textId="77777777" w:rsidR="00C41C57" w:rsidRPr="00C41C57" w:rsidRDefault="00C41C57" w:rsidP="0081253C">
      <w:pPr>
        <w:spacing w:before="0" w:after="0"/>
      </w:pPr>
    </w:p>
    <w:p w14:paraId="2EEC0632" w14:textId="49BE5C19" w:rsidR="00E915B0" w:rsidRPr="00017378" w:rsidRDefault="0081253C" w:rsidP="0081253C">
      <w:pPr>
        <w:pStyle w:val="Nadpis1"/>
        <w:tabs>
          <w:tab w:val="clear" w:pos="709"/>
          <w:tab w:val="num" w:pos="426"/>
        </w:tabs>
        <w:spacing w:before="0"/>
        <w:ind w:left="426" w:hanging="426"/>
        <w:rPr>
          <w:szCs w:val="18"/>
          <w:lang w:val="cs-CZ"/>
        </w:rPr>
      </w:pPr>
      <w:bookmarkStart w:id="1" w:name="_Ref214009525"/>
      <w:r>
        <w:rPr>
          <w:bCs/>
          <w:szCs w:val="18"/>
          <w:lang w:val="cs-CZ"/>
        </w:rPr>
        <w:t xml:space="preserve">OVĚŘENÍ INVESTORA, UZAVŘENÍ </w:t>
      </w:r>
      <w:r w:rsidR="00DC7EBB">
        <w:rPr>
          <w:bCs/>
          <w:szCs w:val="18"/>
          <w:lang w:val="cs-CZ"/>
        </w:rPr>
        <w:t xml:space="preserve">rámcové </w:t>
      </w:r>
      <w:r>
        <w:rPr>
          <w:bCs/>
          <w:szCs w:val="18"/>
          <w:lang w:val="cs-CZ"/>
        </w:rPr>
        <w:t>SMLOUVY A OBJEDNÁVKA PARTICIPACE</w:t>
      </w:r>
      <w:bookmarkEnd w:id="1"/>
    </w:p>
    <w:p w14:paraId="21A71528" w14:textId="620AE346" w:rsidR="00015CA2" w:rsidRPr="00015CA2" w:rsidRDefault="003D7212" w:rsidP="00015CA2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Za účelem plnění povinností vyplývajících </w:t>
      </w:r>
      <w:bookmarkStart w:id="2" w:name="_Hlk213674170"/>
      <w:r>
        <w:rPr>
          <w:sz w:val="18"/>
          <w:szCs w:val="18"/>
          <w:lang w:val="cs-CZ"/>
        </w:rPr>
        <w:t xml:space="preserve">z předpisů proti legalizaci výnosů z trestné činnosti a financování terorismu </w:t>
      </w:r>
      <w:bookmarkEnd w:id="2"/>
      <w:r>
        <w:rPr>
          <w:sz w:val="18"/>
          <w:szCs w:val="18"/>
          <w:lang w:val="cs-CZ"/>
        </w:rPr>
        <w:t xml:space="preserve">je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v souvislosti s postoupením Participace povinn</w:t>
      </w:r>
      <w:r w:rsidR="00FB39A6">
        <w:rPr>
          <w:sz w:val="18"/>
          <w:szCs w:val="18"/>
          <w:lang w:val="cs-CZ"/>
        </w:rPr>
        <w:t>a</w:t>
      </w:r>
      <w:r>
        <w:rPr>
          <w:sz w:val="18"/>
          <w:szCs w:val="18"/>
          <w:lang w:val="cs-CZ"/>
        </w:rPr>
        <w:t xml:space="preserve"> ověřit identitu Investora</w:t>
      </w:r>
      <w:r w:rsidR="0017430F">
        <w:rPr>
          <w:sz w:val="18"/>
          <w:szCs w:val="18"/>
          <w:lang w:val="cs-CZ"/>
        </w:rPr>
        <w:t xml:space="preserve"> a provádět kontrolu</w:t>
      </w:r>
      <w:r>
        <w:rPr>
          <w:sz w:val="18"/>
          <w:szCs w:val="18"/>
          <w:lang w:val="cs-CZ"/>
        </w:rPr>
        <w:t>.</w:t>
      </w:r>
    </w:p>
    <w:p w14:paraId="05098B07" w14:textId="2C7204AD" w:rsidR="00DA53DF" w:rsidRPr="00017378" w:rsidRDefault="00015CA2" w:rsidP="0081253C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Investor je povinen poskytnout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veškerou nutnou součinnost ke splnění povinností vyplývajících z příslušných právních předpisů v oblasti AML a je tedy povinen </w:t>
      </w:r>
      <w:r w:rsidR="00422AB2">
        <w:rPr>
          <w:sz w:val="18"/>
          <w:szCs w:val="18"/>
          <w:lang w:val="cs-CZ"/>
        </w:rPr>
        <w:t xml:space="preserve">poskytnout </w:t>
      </w:r>
      <w:proofErr w:type="spellStart"/>
      <w:r w:rsidR="00422AB2">
        <w:rPr>
          <w:sz w:val="18"/>
          <w:szCs w:val="18"/>
          <w:lang w:val="cs-CZ"/>
        </w:rPr>
        <w:t>Bankee</w:t>
      </w:r>
      <w:proofErr w:type="spellEnd"/>
      <w:r w:rsidR="00422AB2">
        <w:rPr>
          <w:sz w:val="18"/>
          <w:szCs w:val="18"/>
          <w:lang w:val="cs-CZ"/>
        </w:rPr>
        <w:t xml:space="preserve"> </w:t>
      </w:r>
      <w:r w:rsidR="00620FFF">
        <w:rPr>
          <w:sz w:val="18"/>
          <w:szCs w:val="18"/>
          <w:lang w:val="cs-CZ"/>
        </w:rPr>
        <w:t>součinnost při identifikaci, a to primárně prostřednictvím bankovní identity (</w:t>
      </w:r>
      <w:proofErr w:type="spellStart"/>
      <w:r w:rsidR="00620FFF">
        <w:rPr>
          <w:sz w:val="18"/>
          <w:szCs w:val="18"/>
          <w:lang w:val="cs-CZ"/>
        </w:rPr>
        <w:t>BankID</w:t>
      </w:r>
      <w:proofErr w:type="spellEnd"/>
      <w:r w:rsidR="00620FFF">
        <w:rPr>
          <w:sz w:val="18"/>
          <w:szCs w:val="18"/>
          <w:lang w:val="cs-CZ"/>
        </w:rPr>
        <w:t>)</w:t>
      </w:r>
      <w:r w:rsidR="00FB39A6" w:rsidRPr="00273744">
        <w:rPr>
          <w:sz w:val="18"/>
          <w:szCs w:val="18"/>
          <w:lang w:val="cs-CZ"/>
        </w:rPr>
        <w:t>;</w:t>
      </w:r>
      <w:r w:rsidR="00620FFF">
        <w:rPr>
          <w:sz w:val="18"/>
          <w:szCs w:val="18"/>
          <w:lang w:val="cs-CZ"/>
        </w:rPr>
        <w:t xml:space="preserve"> alternativně pak poskytnout </w:t>
      </w:r>
      <w:r w:rsidR="00422AB2">
        <w:rPr>
          <w:sz w:val="18"/>
          <w:szCs w:val="18"/>
          <w:lang w:val="cs-CZ"/>
        </w:rPr>
        <w:t xml:space="preserve">čitelnou kopii dvou dokladů totožnosti a dále </w:t>
      </w:r>
      <w:r>
        <w:rPr>
          <w:sz w:val="18"/>
          <w:szCs w:val="18"/>
          <w:lang w:val="cs-CZ"/>
        </w:rPr>
        <w:t xml:space="preserve">ověřit svou totožnost prostřednictvím platby uskutečněné ze svého bankovního účtu (tj. z účtu vedeného přímo na </w:t>
      </w:r>
      <w:r w:rsidR="00FB39A6">
        <w:rPr>
          <w:sz w:val="18"/>
          <w:szCs w:val="18"/>
          <w:lang w:val="cs-CZ"/>
        </w:rPr>
        <w:t xml:space="preserve">jeho </w:t>
      </w:r>
      <w:r>
        <w:rPr>
          <w:sz w:val="18"/>
          <w:szCs w:val="18"/>
          <w:lang w:val="cs-CZ"/>
        </w:rPr>
        <w:t>jméno), vedeného bankou se sídlem v</w:t>
      </w:r>
      <w:r w:rsidR="007114A4">
        <w:rPr>
          <w:sz w:val="18"/>
          <w:szCs w:val="18"/>
          <w:lang w:val="cs-CZ"/>
        </w:rPr>
        <w:t> Evropské unii</w:t>
      </w:r>
      <w:r>
        <w:rPr>
          <w:sz w:val="18"/>
          <w:szCs w:val="18"/>
          <w:lang w:val="cs-CZ"/>
        </w:rPr>
        <w:t>.</w:t>
      </w:r>
    </w:p>
    <w:p w14:paraId="5A2733EE" w14:textId="2D2A31D9" w:rsidR="006602F7" w:rsidRPr="00017378" w:rsidRDefault="00015CA2" w:rsidP="0081253C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Ověření totožnosti </w:t>
      </w:r>
      <w:r w:rsidR="00A10696">
        <w:rPr>
          <w:sz w:val="18"/>
          <w:szCs w:val="18"/>
          <w:lang w:val="cs-CZ"/>
        </w:rPr>
        <w:t xml:space="preserve">Investora </w:t>
      </w:r>
      <w:r>
        <w:rPr>
          <w:sz w:val="18"/>
          <w:szCs w:val="18"/>
          <w:lang w:val="cs-CZ"/>
        </w:rPr>
        <w:t>prostřednictvím platby může</w:t>
      </w:r>
      <w:r w:rsidR="00A10696">
        <w:rPr>
          <w:sz w:val="18"/>
          <w:szCs w:val="18"/>
          <w:lang w:val="cs-CZ"/>
        </w:rPr>
        <w:t xml:space="preserve"> být realizováno buď platbou učiněnou v souvislosti s první Objednávkou Investora </w:t>
      </w:r>
      <w:r w:rsidR="00A10696" w:rsidRPr="008C46B5">
        <w:rPr>
          <w:sz w:val="18"/>
          <w:szCs w:val="18"/>
          <w:lang w:val="cs-CZ"/>
        </w:rPr>
        <w:t xml:space="preserve">dle čl. </w:t>
      </w:r>
      <w:r w:rsidR="003020A1">
        <w:rPr>
          <w:sz w:val="18"/>
          <w:szCs w:val="18"/>
          <w:lang w:val="cs-CZ"/>
        </w:rPr>
        <w:fldChar w:fldCharType="begin"/>
      </w:r>
      <w:r w:rsidR="003020A1">
        <w:rPr>
          <w:sz w:val="18"/>
          <w:szCs w:val="18"/>
          <w:lang w:val="cs-CZ"/>
        </w:rPr>
        <w:instrText xml:space="preserve"> REF _Ref214009507 \r \h </w:instrText>
      </w:r>
      <w:r w:rsidR="003020A1">
        <w:rPr>
          <w:sz w:val="18"/>
          <w:szCs w:val="18"/>
          <w:lang w:val="cs-CZ"/>
        </w:rPr>
      </w:r>
      <w:r w:rsidR="003020A1">
        <w:rPr>
          <w:sz w:val="18"/>
          <w:szCs w:val="18"/>
          <w:lang w:val="cs-CZ"/>
        </w:rPr>
        <w:fldChar w:fldCharType="separate"/>
      </w:r>
      <w:r w:rsidR="003745F2">
        <w:rPr>
          <w:sz w:val="18"/>
          <w:szCs w:val="18"/>
          <w:lang w:val="cs-CZ"/>
        </w:rPr>
        <w:t>4.5</w:t>
      </w:r>
      <w:r w:rsidR="003020A1">
        <w:rPr>
          <w:sz w:val="18"/>
          <w:szCs w:val="18"/>
          <w:lang w:val="cs-CZ"/>
        </w:rPr>
        <w:fldChar w:fldCharType="end"/>
      </w:r>
      <w:r w:rsidR="008C46B5" w:rsidRPr="008C46B5">
        <w:rPr>
          <w:sz w:val="18"/>
          <w:szCs w:val="18"/>
          <w:lang w:val="cs-CZ"/>
        </w:rPr>
        <w:t xml:space="preserve"> a násl.</w:t>
      </w:r>
      <w:r w:rsidR="00A10696" w:rsidRPr="008C46B5">
        <w:rPr>
          <w:sz w:val="18"/>
          <w:szCs w:val="18"/>
          <w:lang w:val="cs-CZ"/>
        </w:rPr>
        <w:t xml:space="preserve"> těchto Obchodních podmínek, nebo účelovou platbou</w:t>
      </w:r>
      <w:r w:rsidR="00A10696">
        <w:rPr>
          <w:sz w:val="18"/>
          <w:szCs w:val="18"/>
          <w:lang w:val="cs-CZ"/>
        </w:rPr>
        <w:t xml:space="preserve"> ve výši 1,- Kč</w:t>
      </w:r>
      <w:r w:rsidR="007114A4">
        <w:rPr>
          <w:sz w:val="18"/>
          <w:szCs w:val="18"/>
          <w:lang w:val="cs-CZ"/>
        </w:rPr>
        <w:t xml:space="preserve"> či 1 EUR</w:t>
      </w:r>
      <w:r w:rsidR="00A10696">
        <w:rPr>
          <w:sz w:val="18"/>
          <w:szCs w:val="18"/>
          <w:lang w:val="cs-CZ"/>
        </w:rPr>
        <w:t xml:space="preserve"> </w:t>
      </w:r>
      <w:r w:rsidR="007114A4">
        <w:rPr>
          <w:sz w:val="18"/>
          <w:szCs w:val="18"/>
          <w:lang w:val="cs-CZ"/>
        </w:rPr>
        <w:t>v souladu s instrukcemi pro platbu (vč. variabilního symbolu a zprávy pro příjemce) uveřejněných</w:t>
      </w:r>
      <w:r w:rsidR="00A10696">
        <w:rPr>
          <w:sz w:val="18"/>
          <w:szCs w:val="18"/>
          <w:lang w:val="cs-CZ"/>
        </w:rPr>
        <w:t xml:space="preserve"> Platformou,</w:t>
      </w:r>
      <w:r w:rsidR="007114A4">
        <w:rPr>
          <w:sz w:val="18"/>
          <w:szCs w:val="18"/>
          <w:lang w:val="cs-CZ"/>
        </w:rPr>
        <w:t xml:space="preserve"> a to ve formě QR kódu k provedení platby. T</w:t>
      </w:r>
      <w:r w:rsidR="00A10696">
        <w:rPr>
          <w:sz w:val="18"/>
          <w:szCs w:val="18"/>
          <w:lang w:val="cs-CZ"/>
        </w:rPr>
        <w:t>ato platba bude po provedení ověření Investorovi vrácena.</w:t>
      </w:r>
    </w:p>
    <w:p w14:paraId="2D0007A1" w14:textId="03E39C3A" w:rsidR="007E14FA" w:rsidRPr="00017378" w:rsidRDefault="00A10696" w:rsidP="0081253C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K řádnému ověření totožnosti Investora dojde výhradně</w:t>
      </w:r>
      <w:r w:rsidR="00346223" w:rsidRPr="00017378">
        <w:rPr>
          <w:sz w:val="18"/>
          <w:szCs w:val="18"/>
          <w:lang w:val="cs-CZ"/>
        </w:rPr>
        <w:t xml:space="preserve"> </w:t>
      </w:r>
      <w:r>
        <w:rPr>
          <w:sz w:val="18"/>
          <w:szCs w:val="18"/>
          <w:lang w:val="cs-CZ"/>
        </w:rPr>
        <w:t xml:space="preserve">v okamžiku, kdy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obdrží </w:t>
      </w:r>
      <w:r w:rsidR="00620FFF">
        <w:rPr>
          <w:sz w:val="18"/>
          <w:szCs w:val="18"/>
          <w:lang w:val="cs-CZ"/>
        </w:rPr>
        <w:t>potvrzení o ověření prostřednictvím bankovní identity (</w:t>
      </w:r>
      <w:proofErr w:type="spellStart"/>
      <w:r w:rsidR="00620FFF">
        <w:rPr>
          <w:sz w:val="18"/>
          <w:szCs w:val="18"/>
          <w:lang w:val="cs-CZ"/>
        </w:rPr>
        <w:t>BankID</w:t>
      </w:r>
      <w:proofErr w:type="spellEnd"/>
      <w:r w:rsidR="00620FFF">
        <w:rPr>
          <w:sz w:val="18"/>
          <w:szCs w:val="18"/>
          <w:lang w:val="cs-CZ"/>
        </w:rPr>
        <w:t xml:space="preserve">), nebo </w:t>
      </w:r>
      <w:r>
        <w:rPr>
          <w:sz w:val="18"/>
          <w:szCs w:val="18"/>
          <w:lang w:val="cs-CZ"/>
        </w:rPr>
        <w:t xml:space="preserve">ověřovací platbu, k níž budou připojeny identifikační údaje vlastníka příslušného bankovního účtu odpovídající Investorovi. V případě jakýchkoli pochybností či chybějících údajů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vyzve Investora k doložení dodatečných dokumentů v souvislosti s ověřením jeho totožnosti (zejména potvrzení o existenci účtu či výpis z něj, smlouvu o vedení účtu apod.) a Investor je povinen jej bezodkladně doložit. Bez řádného dokončení ověření totožnosti Investora mu nebude umožněno uzavření Rámcové smlouvy ani nabytí Participace.</w:t>
      </w:r>
      <w:r w:rsidR="0017430F">
        <w:rPr>
          <w:sz w:val="18"/>
          <w:szCs w:val="18"/>
          <w:lang w:val="cs-CZ"/>
        </w:rPr>
        <w:t xml:space="preserve"> Investor je dále povinen poskytnout </w:t>
      </w:r>
      <w:proofErr w:type="spellStart"/>
      <w:r w:rsidR="0017430F">
        <w:rPr>
          <w:sz w:val="18"/>
          <w:szCs w:val="18"/>
          <w:lang w:val="cs-CZ"/>
        </w:rPr>
        <w:t>Bankee</w:t>
      </w:r>
      <w:proofErr w:type="spellEnd"/>
      <w:r w:rsidR="0017430F">
        <w:rPr>
          <w:sz w:val="18"/>
          <w:szCs w:val="18"/>
          <w:lang w:val="cs-CZ"/>
        </w:rPr>
        <w:t xml:space="preserve"> plnou součinnost při realizaci kontroly, a to jak při navázání obchodního vztahu, tak </w:t>
      </w:r>
      <w:r w:rsidR="00FB39A6">
        <w:rPr>
          <w:sz w:val="18"/>
          <w:szCs w:val="18"/>
          <w:lang w:val="cs-CZ"/>
        </w:rPr>
        <w:t xml:space="preserve">i </w:t>
      </w:r>
      <w:r w:rsidR="0017430F">
        <w:rPr>
          <w:sz w:val="18"/>
          <w:szCs w:val="18"/>
          <w:lang w:val="cs-CZ"/>
        </w:rPr>
        <w:t>v jeho průběhu. Tato součinnost spočívá zejména ve vyplnění AML dotazníku, jakož i poskytnutí vybraných údajů a dokumentů ve vztahu k osobě Investora</w:t>
      </w:r>
      <w:r w:rsidR="00585814">
        <w:rPr>
          <w:sz w:val="18"/>
          <w:szCs w:val="18"/>
          <w:lang w:val="cs-CZ"/>
        </w:rPr>
        <w:t xml:space="preserve"> (Investor mimo jiné potvrzuje, že není politicky exponovanou osobou)</w:t>
      </w:r>
      <w:r w:rsidR="0017430F">
        <w:rPr>
          <w:sz w:val="18"/>
          <w:szCs w:val="18"/>
          <w:lang w:val="cs-CZ"/>
        </w:rPr>
        <w:t xml:space="preserve"> a původu jeho prostředků</w:t>
      </w:r>
      <w:r w:rsidR="00585814">
        <w:rPr>
          <w:sz w:val="18"/>
          <w:szCs w:val="18"/>
          <w:lang w:val="cs-CZ"/>
        </w:rPr>
        <w:t xml:space="preserve"> a </w:t>
      </w:r>
      <w:r w:rsidR="00FB39A6">
        <w:rPr>
          <w:sz w:val="18"/>
          <w:szCs w:val="18"/>
          <w:lang w:val="cs-CZ"/>
        </w:rPr>
        <w:t xml:space="preserve">v </w:t>
      </w:r>
      <w:r w:rsidR="00585814">
        <w:rPr>
          <w:sz w:val="18"/>
          <w:szCs w:val="18"/>
          <w:lang w:val="cs-CZ"/>
        </w:rPr>
        <w:t>bezodkladném oznámení případných změn takto poskytnutých informací</w:t>
      </w:r>
      <w:r w:rsidR="0017430F">
        <w:rPr>
          <w:sz w:val="18"/>
          <w:szCs w:val="18"/>
          <w:lang w:val="cs-CZ"/>
        </w:rPr>
        <w:t>.</w:t>
      </w:r>
    </w:p>
    <w:p w14:paraId="753180FB" w14:textId="0275B0E8" w:rsidR="0036780B" w:rsidRDefault="00DC7EBB" w:rsidP="0081253C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bookmarkStart w:id="3" w:name="_Ref214009507"/>
      <w:r w:rsidRPr="00390521">
        <w:rPr>
          <w:sz w:val="18"/>
          <w:szCs w:val="18"/>
          <w:lang w:val="cs-CZ"/>
        </w:rPr>
        <w:t>Rámcová smlouva je uzavřena vždy v souvislosti s výběrem první Participace Investorem</w:t>
      </w:r>
      <w:r w:rsidR="00065594" w:rsidRPr="00390521">
        <w:rPr>
          <w:sz w:val="18"/>
          <w:szCs w:val="18"/>
          <w:lang w:val="cs-CZ"/>
        </w:rPr>
        <w:t>.</w:t>
      </w:r>
      <w:r w:rsidRPr="00390521">
        <w:rPr>
          <w:sz w:val="18"/>
          <w:szCs w:val="18"/>
          <w:lang w:val="cs-CZ"/>
        </w:rPr>
        <w:t xml:space="preserve"> Při výběru Participace Investor odsouhlasí a elektronicky podepíše znění Rámcové smlouvy, přičemž u dalších vybraných Participací jsou uzavírány </w:t>
      </w:r>
      <w:r w:rsidR="00FB39A6">
        <w:rPr>
          <w:sz w:val="18"/>
          <w:szCs w:val="18"/>
          <w:lang w:val="cs-CZ"/>
        </w:rPr>
        <w:t>pouze</w:t>
      </w:r>
      <w:r w:rsidRPr="00390521">
        <w:rPr>
          <w:sz w:val="18"/>
          <w:szCs w:val="18"/>
          <w:lang w:val="cs-CZ"/>
        </w:rPr>
        <w:t xml:space="preserve"> konkrétní Objednávky na základě Rámcové smlouvy. Rámcová</w:t>
      </w:r>
      <w:r>
        <w:rPr>
          <w:sz w:val="18"/>
          <w:szCs w:val="18"/>
          <w:lang w:val="cs-CZ"/>
        </w:rPr>
        <w:t xml:space="preserve"> smlouva podrobně upravuje vzájemná práva a povinnosti mezi Investorem a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při postupování Participací za </w:t>
      </w:r>
      <w:r w:rsidR="00127637">
        <w:rPr>
          <w:sz w:val="18"/>
          <w:szCs w:val="18"/>
          <w:lang w:val="cs-CZ"/>
        </w:rPr>
        <w:t>Investovanou částku</w:t>
      </w:r>
      <w:r>
        <w:rPr>
          <w:sz w:val="18"/>
          <w:szCs w:val="18"/>
          <w:lang w:val="cs-CZ"/>
        </w:rPr>
        <w:t>.</w:t>
      </w:r>
      <w:bookmarkEnd w:id="3"/>
    </w:p>
    <w:p w14:paraId="072E00B1" w14:textId="73351223" w:rsidR="00474FE8" w:rsidRDefault="005D03EC" w:rsidP="00DC7EBB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Po výběru Participace z nabídky na Platformě je Investor povinen určit výši Participace v celých korunách</w:t>
      </w:r>
      <w:r w:rsidR="007114A4">
        <w:rPr>
          <w:sz w:val="18"/>
          <w:szCs w:val="18"/>
          <w:lang w:val="cs-CZ"/>
        </w:rPr>
        <w:t xml:space="preserve"> či eurech</w:t>
      </w:r>
      <w:r>
        <w:rPr>
          <w:sz w:val="18"/>
          <w:szCs w:val="18"/>
          <w:lang w:val="cs-CZ"/>
        </w:rPr>
        <w:t xml:space="preserve">, a to v rozsahu stanoveném ze strany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>. Tento rozsah, tj. minimální a maximální výše Participace</w:t>
      </w:r>
      <w:r w:rsidR="00FB39A6">
        <w:rPr>
          <w:sz w:val="18"/>
          <w:szCs w:val="18"/>
          <w:lang w:val="cs-CZ"/>
        </w:rPr>
        <w:t>,</w:t>
      </w:r>
      <w:r>
        <w:rPr>
          <w:sz w:val="18"/>
          <w:szCs w:val="18"/>
          <w:lang w:val="cs-CZ"/>
        </w:rPr>
        <w:t xml:space="preserve"> je jednostranně urč</w:t>
      </w:r>
      <w:r w:rsidR="00FB39A6">
        <w:rPr>
          <w:sz w:val="18"/>
          <w:szCs w:val="18"/>
          <w:lang w:val="cs-CZ"/>
        </w:rPr>
        <w:t>ován</w:t>
      </w:r>
      <w:r>
        <w:rPr>
          <w:sz w:val="18"/>
          <w:szCs w:val="18"/>
          <w:lang w:val="cs-CZ"/>
        </w:rPr>
        <w:t xml:space="preserve">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 w:rsidR="00FB39A6">
        <w:rPr>
          <w:sz w:val="18"/>
          <w:szCs w:val="18"/>
          <w:lang w:val="cs-CZ"/>
        </w:rPr>
        <w:t>, která</w:t>
      </w:r>
      <w:r>
        <w:rPr>
          <w:sz w:val="18"/>
          <w:szCs w:val="18"/>
          <w:lang w:val="cs-CZ"/>
        </w:rPr>
        <w:t xml:space="preserve"> </w:t>
      </w:r>
      <w:r w:rsidR="00FB39A6">
        <w:rPr>
          <w:sz w:val="18"/>
          <w:szCs w:val="18"/>
          <w:lang w:val="cs-CZ"/>
        </w:rPr>
        <w:t>si</w:t>
      </w:r>
      <w:r>
        <w:rPr>
          <w:sz w:val="18"/>
          <w:szCs w:val="18"/>
          <w:lang w:val="cs-CZ"/>
        </w:rPr>
        <w:t xml:space="preserve"> vyhrazuje právo činit případné změny, zejména s ohledem na zájem o dotčenou Participaci a další tržní </w:t>
      </w:r>
      <w:r>
        <w:rPr>
          <w:sz w:val="18"/>
          <w:szCs w:val="18"/>
          <w:lang w:val="cs-CZ"/>
        </w:rPr>
        <w:lastRenderedPageBreak/>
        <w:t>okolnosti.</w:t>
      </w:r>
    </w:p>
    <w:p w14:paraId="18AEB6C4" w14:textId="3E1E9243" w:rsidR="005D03EC" w:rsidRDefault="005D03EC" w:rsidP="005D03EC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Investor po finálním </w:t>
      </w:r>
      <w:r w:rsidR="007262E7">
        <w:rPr>
          <w:sz w:val="18"/>
          <w:szCs w:val="18"/>
          <w:lang w:val="cs-CZ"/>
        </w:rPr>
        <w:t>potvrzení</w:t>
      </w:r>
      <w:r>
        <w:rPr>
          <w:sz w:val="18"/>
          <w:szCs w:val="18"/>
          <w:lang w:val="cs-CZ"/>
        </w:rPr>
        <w:t xml:space="preserve"> (podpisu) konkrétní </w:t>
      </w:r>
      <w:r w:rsidR="007262E7">
        <w:rPr>
          <w:sz w:val="18"/>
          <w:szCs w:val="18"/>
          <w:lang w:val="cs-CZ"/>
        </w:rPr>
        <w:t xml:space="preserve">Objednávky </w:t>
      </w:r>
      <w:r>
        <w:rPr>
          <w:sz w:val="18"/>
          <w:szCs w:val="18"/>
          <w:lang w:val="cs-CZ"/>
        </w:rPr>
        <w:t xml:space="preserve">Participace včetně její výše prostřednictvím Platformy bude vyzván k úhradě </w:t>
      </w:r>
      <w:r w:rsidR="00127637">
        <w:rPr>
          <w:sz w:val="18"/>
          <w:szCs w:val="18"/>
          <w:lang w:val="cs-CZ"/>
        </w:rPr>
        <w:t>Investované částky</w:t>
      </w:r>
      <w:r w:rsidR="007262E7">
        <w:rPr>
          <w:sz w:val="18"/>
          <w:szCs w:val="18"/>
          <w:lang w:val="cs-CZ"/>
        </w:rPr>
        <w:t xml:space="preserve">. </w:t>
      </w:r>
      <w:r w:rsidR="00127637">
        <w:rPr>
          <w:sz w:val="18"/>
          <w:szCs w:val="18"/>
          <w:lang w:val="cs-CZ"/>
        </w:rPr>
        <w:t xml:space="preserve">Investovaná částka </w:t>
      </w:r>
      <w:r w:rsidR="007262E7">
        <w:rPr>
          <w:sz w:val="18"/>
          <w:szCs w:val="18"/>
          <w:lang w:val="cs-CZ"/>
        </w:rPr>
        <w:t xml:space="preserve">musí být uhrazena do </w:t>
      </w:r>
      <w:r w:rsidR="007114A4">
        <w:rPr>
          <w:sz w:val="18"/>
          <w:szCs w:val="18"/>
          <w:lang w:val="cs-CZ"/>
        </w:rPr>
        <w:t>24 hodin</w:t>
      </w:r>
      <w:r w:rsidR="007262E7">
        <w:rPr>
          <w:sz w:val="18"/>
          <w:szCs w:val="18"/>
          <w:lang w:val="cs-CZ"/>
        </w:rPr>
        <w:t xml:space="preserve"> od vytvoření Objednávky, není-li v Objednávce výslovně stanoveno jinak, přičemž </w:t>
      </w:r>
      <w:r w:rsidR="00127637">
        <w:rPr>
          <w:sz w:val="18"/>
          <w:szCs w:val="18"/>
          <w:lang w:val="cs-CZ"/>
        </w:rPr>
        <w:t xml:space="preserve">Investovaná částka </w:t>
      </w:r>
      <w:r w:rsidR="007262E7">
        <w:rPr>
          <w:sz w:val="18"/>
          <w:szCs w:val="18"/>
          <w:lang w:val="cs-CZ"/>
        </w:rPr>
        <w:t xml:space="preserve">musí být poukázána výhradně z bankovního účtu Investora, prostřednictvím nějž byl ověřen ve smyslu čl. </w:t>
      </w:r>
      <w:r w:rsidR="003020A1">
        <w:rPr>
          <w:sz w:val="18"/>
          <w:szCs w:val="18"/>
          <w:lang w:val="cs-CZ"/>
        </w:rPr>
        <w:fldChar w:fldCharType="begin"/>
      </w:r>
      <w:r w:rsidR="003020A1">
        <w:rPr>
          <w:sz w:val="18"/>
          <w:szCs w:val="18"/>
          <w:lang w:val="cs-CZ"/>
        </w:rPr>
        <w:instrText xml:space="preserve"> REF _Ref214009525 \r \h </w:instrText>
      </w:r>
      <w:r w:rsidR="003020A1">
        <w:rPr>
          <w:sz w:val="18"/>
          <w:szCs w:val="18"/>
          <w:lang w:val="cs-CZ"/>
        </w:rPr>
      </w:r>
      <w:r w:rsidR="003020A1">
        <w:rPr>
          <w:sz w:val="18"/>
          <w:szCs w:val="18"/>
          <w:lang w:val="cs-CZ"/>
        </w:rPr>
        <w:fldChar w:fldCharType="separate"/>
      </w:r>
      <w:r w:rsidR="003745F2">
        <w:rPr>
          <w:sz w:val="18"/>
          <w:szCs w:val="18"/>
          <w:lang w:val="cs-CZ"/>
        </w:rPr>
        <w:t>4</w:t>
      </w:r>
      <w:r w:rsidR="003020A1">
        <w:rPr>
          <w:sz w:val="18"/>
          <w:szCs w:val="18"/>
          <w:lang w:val="cs-CZ"/>
        </w:rPr>
        <w:fldChar w:fldCharType="end"/>
      </w:r>
      <w:r w:rsidR="003020A1">
        <w:rPr>
          <w:sz w:val="18"/>
          <w:szCs w:val="18"/>
          <w:lang w:val="cs-CZ"/>
        </w:rPr>
        <w:t xml:space="preserve"> </w:t>
      </w:r>
      <w:r w:rsidR="007262E7">
        <w:rPr>
          <w:sz w:val="18"/>
          <w:szCs w:val="18"/>
          <w:lang w:val="cs-CZ"/>
        </w:rPr>
        <w:t>těchto Obchodních podmínek</w:t>
      </w:r>
      <w:r w:rsidR="00DE1EEF">
        <w:rPr>
          <w:sz w:val="18"/>
          <w:szCs w:val="18"/>
          <w:lang w:val="cs-CZ"/>
        </w:rPr>
        <w:t xml:space="preserve"> a s</w:t>
      </w:r>
      <w:r w:rsidR="007114A4">
        <w:rPr>
          <w:sz w:val="18"/>
          <w:szCs w:val="18"/>
          <w:lang w:val="cs-CZ"/>
        </w:rPr>
        <w:t> platebních údajů uvedených</w:t>
      </w:r>
      <w:r w:rsidR="00DE1EEF">
        <w:rPr>
          <w:sz w:val="18"/>
          <w:szCs w:val="18"/>
          <w:lang w:val="cs-CZ"/>
        </w:rPr>
        <w:t xml:space="preserve"> v</w:t>
      </w:r>
      <w:r w:rsidR="007114A4">
        <w:rPr>
          <w:sz w:val="18"/>
          <w:szCs w:val="18"/>
          <w:lang w:val="cs-CZ"/>
        </w:rPr>
        <w:t> </w:t>
      </w:r>
      <w:r w:rsidR="00DE1EEF">
        <w:rPr>
          <w:sz w:val="18"/>
          <w:szCs w:val="18"/>
          <w:lang w:val="cs-CZ"/>
        </w:rPr>
        <w:t>Objednávce</w:t>
      </w:r>
      <w:r w:rsidR="007114A4">
        <w:rPr>
          <w:sz w:val="18"/>
          <w:szCs w:val="18"/>
          <w:lang w:val="cs-CZ"/>
        </w:rPr>
        <w:t xml:space="preserve"> (dle QR kódu)</w:t>
      </w:r>
      <w:r w:rsidR="007262E7">
        <w:rPr>
          <w:sz w:val="18"/>
          <w:szCs w:val="18"/>
          <w:lang w:val="cs-CZ"/>
        </w:rPr>
        <w:t>.</w:t>
      </w:r>
      <w:r w:rsidR="007114A4">
        <w:rPr>
          <w:sz w:val="18"/>
          <w:szCs w:val="18"/>
          <w:lang w:val="cs-CZ"/>
        </w:rPr>
        <w:t xml:space="preserve"> Investor je oprávněn 24 hodinovou lhůtu prodloužit prostřednictvím Platformy, a to jednorázově nejvýše o dalších 24 hodin. Nedojde-li k řádné úhradě ve lhůtě (případně řádně prodloužené lhůtě), pak Objednávka bez dalšího zaniká a </w:t>
      </w:r>
      <w:proofErr w:type="spellStart"/>
      <w:r w:rsidR="007114A4">
        <w:rPr>
          <w:sz w:val="18"/>
          <w:szCs w:val="18"/>
          <w:lang w:val="cs-CZ"/>
        </w:rPr>
        <w:t>Bankee</w:t>
      </w:r>
      <w:proofErr w:type="spellEnd"/>
      <w:r w:rsidR="007114A4">
        <w:rPr>
          <w:sz w:val="18"/>
          <w:szCs w:val="18"/>
          <w:lang w:val="cs-CZ"/>
        </w:rPr>
        <w:t xml:space="preserve"> je oprávněna nabídnout Participaci v rozsahu Objednávky dalším investorům.</w:t>
      </w:r>
    </w:p>
    <w:p w14:paraId="21A46EDE" w14:textId="31900181" w:rsidR="007262E7" w:rsidRDefault="007262E7" w:rsidP="007262E7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 w:rsidRPr="007262E7">
        <w:rPr>
          <w:sz w:val="18"/>
          <w:szCs w:val="18"/>
          <w:lang w:val="cs-CZ"/>
        </w:rPr>
        <w:t xml:space="preserve">V případě </w:t>
      </w:r>
      <w:r>
        <w:rPr>
          <w:sz w:val="18"/>
          <w:szCs w:val="18"/>
          <w:lang w:val="cs-CZ"/>
        </w:rPr>
        <w:t xml:space="preserve">částečné platby </w:t>
      </w:r>
      <w:r w:rsidR="00127637">
        <w:rPr>
          <w:sz w:val="18"/>
          <w:szCs w:val="18"/>
          <w:lang w:val="cs-CZ"/>
        </w:rPr>
        <w:t xml:space="preserve">Investované částky </w:t>
      </w:r>
      <w:r>
        <w:rPr>
          <w:sz w:val="18"/>
          <w:szCs w:val="18"/>
          <w:lang w:val="cs-CZ"/>
        </w:rPr>
        <w:t xml:space="preserve">(tj. nižší platby, než bylo ujednáno v Objednávce)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 w:rsidR="00D82ED0">
        <w:rPr>
          <w:sz w:val="18"/>
          <w:szCs w:val="18"/>
          <w:lang w:val="cs-CZ"/>
        </w:rPr>
        <w:t xml:space="preserve"> vyzve Investora k doplacení zbývajícího rozsahu </w:t>
      </w:r>
      <w:r w:rsidR="00127637">
        <w:rPr>
          <w:sz w:val="18"/>
          <w:szCs w:val="18"/>
          <w:lang w:val="cs-CZ"/>
        </w:rPr>
        <w:t>Investované částky</w:t>
      </w:r>
      <w:r w:rsidR="00D82ED0">
        <w:rPr>
          <w:sz w:val="18"/>
          <w:szCs w:val="18"/>
          <w:lang w:val="cs-CZ"/>
        </w:rPr>
        <w:t xml:space="preserve">, a to se lhůtou k úhradě v délce 24 hodin a následně nebude-li uhrazena celá </w:t>
      </w:r>
      <w:r w:rsidR="00127637">
        <w:rPr>
          <w:sz w:val="18"/>
          <w:szCs w:val="18"/>
          <w:lang w:val="cs-CZ"/>
        </w:rPr>
        <w:t>Investovaná částka</w:t>
      </w:r>
      <w:r w:rsidR="00D82ED0">
        <w:rPr>
          <w:sz w:val="18"/>
          <w:szCs w:val="18"/>
          <w:lang w:val="cs-CZ"/>
        </w:rPr>
        <w:t xml:space="preserve">, může </w:t>
      </w:r>
      <w:proofErr w:type="spellStart"/>
      <w:r w:rsidR="00D82ED0">
        <w:rPr>
          <w:sz w:val="18"/>
          <w:szCs w:val="18"/>
          <w:lang w:val="cs-CZ"/>
        </w:rPr>
        <w:t>Bankee</w:t>
      </w:r>
      <w:proofErr w:type="spellEnd"/>
      <w:r w:rsidR="00D82ED0">
        <w:rPr>
          <w:sz w:val="18"/>
          <w:szCs w:val="18"/>
          <w:lang w:val="cs-CZ"/>
        </w:rPr>
        <w:t xml:space="preserve"> </w:t>
      </w:r>
      <w:r>
        <w:rPr>
          <w:sz w:val="18"/>
          <w:szCs w:val="18"/>
          <w:lang w:val="cs-CZ"/>
        </w:rPr>
        <w:t xml:space="preserve">dle svého výhradního uvážení buď poskytnout Participaci v odpovídající výši (tímto dojde k akceptaci Objednávky jen v rozsahu, v němž byla </w:t>
      </w:r>
      <w:r w:rsidR="00127637">
        <w:rPr>
          <w:sz w:val="18"/>
          <w:szCs w:val="18"/>
          <w:lang w:val="cs-CZ"/>
        </w:rPr>
        <w:t>Investovaná částka</w:t>
      </w:r>
      <w:r>
        <w:rPr>
          <w:sz w:val="18"/>
          <w:szCs w:val="18"/>
          <w:lang w:val="cs-CZ"/>
        </w:rPr>
        <w:t xml:space="preserve"> uhrazena), nebo Objednávku </w:t>
      </w:r>
      <w:r w:rsidR="00D82ED0">
        <w:rPr>
          <w:sz w:val="18"/>
          <w:szCs w:val="18"/>
          <w:lang w:val="cs-CZ"/>
        </w:rPr>
        <w:t xml:space="preserve"> v celém rozsahu </w:t>
      </w:r>
      <w:r>
        <w:rPr>
          <w:sz w:val="18"/>
          <w:szCs w:val="18"/>
          <w:lang w:val="cs-CZ"/>
        </w:rPr>
        <w:t>odmítnout, o čemž Investora informuje</w:t>
      </w:r>
      <w:r w:rsidR="00D82ED0">
        <w:rPr>
          <w:sz w:val="18"/>
          <w:szCs w:val="18"/>
          <w:lang w:val="cs-CZ"/>
        </w:rPr>
        <w:t>.</w:t>
      </w:r>
    </w:p>
    <w:p w14:paraId="7C4A05A3" w14:textId="7C9685B4" w:rsidR="007262E7" w:rsidRDefault="007262E7" w:rsidP="007262E7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je oprávněna Objednávky krátit či odmítat, a to </w:t>
      </w:r>
      <w:r w:rsidR="00FB39A6">
        <w:rPr>
          <w:sz w:val="18"/>
          <w:szCs w:val="18"/>
          <w:lang w:val="cs-CZ"/>
        </w:rPr>
        <w:t>v závislosti na</w:t>
      </w:r>
      <w:r>
        <w:rPr>
          <w:sz w:val="18"/>
          <w:szCs w:val="18"/>
          <w:lang w:val="cs-CZ"/>
        </w:rPr>
        <w:t xml:space="preserve"> aktuální</w:t>
      </w:r>
      <w:r w:rsidR="00FB39A6">
        <w:rPr>
          <w:sz w:val="18"/>
          <w:szCs w:val="18"/>
          <w:lang w:val="cs-CZ"/>
        </w:rPr>
        <w:t>m</w:t>
      </w:r>
      <w:r>
        <w:rPr>
          <w:sz w:val="18"/>
          <w:szCs w:val="18"/>
          <w:lang w:val="cs-CZ"/>
        </w:rPr>
        <w:t xml:space="preserve"> poměru Úvěru vůči všem nabytým Participacím. V takovém případě bude </w:t>
      </w:r>
      <w:r w:rsidR="00127637">
        <w:rPr>
          <w:sz w:val="18"/>
          <w:szCs w:val="18"/>
          <w:lang w:val="cs-CZ"/>
        </w:rPr>
        <w:t>Investovaná částka</w:t>
      </w:r>
      <w:r>
        <w:rPr>
          <w:sz w:val="18"/>
          <w:szCs w:val="18"/>
          <w:lang w:val="cs-CZ"/>
        </w:rPr>
        <w:t xml:space="preserve"> či její část vrácena Investorovi do 3 pracovních dnů.</w:t>
      </w:r>
    </w:p>
    <w:p w14:paraId="211B1523" w14:textId="35945469" w:rsidR="007262E7" w:rsidRDefault="007262E7" w:rsidP="007262E7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 w:rsidRPr="007262E7">
        <w:rPr>
          <w:sz w:val="18"/>
          <w:szCs w:val="18"/>
          <w:lang w:val="cs-CZ"/>
        </w:rPr>
        <w:t>V případě, že</w:t>
      </w:r>
      <w:r>
        <w:rPr>
          <w:sz w:val="18"/>
          <w:szCs w:val="18"/>
          <w:lang w:val="cs-CZ"/>
        </w:rPr>
        <w:t xml:space="preserve"> </w:t>
      </w:r>
      <w:r w:rsidR="00127637">
        <w:rPr>
          <w:sz w:val="18"/>
          <w:szCs w:val="18"/>
          <w:lang w:val="cs-CZ"/>
        </w:rPr>
        <w:t>Investovaná částka</w:t>
      </w:r>
      <w:r>
        <w:rPr>
          <w:sz w:val="18"/>
          <w:szCs w:val="18"/>
          <w:lang w:val="cs-CZ"/>
        </w:rPr>
        <w:t xml:space="preserve"> bude uhrazena </w:t>
      </w:r>
      <w:r w:rsidR="00784307">
        <w:rPr>
          <w:sz w:val="18"/>
          <w:szCs w:val="18"/>
          <w:lang w:val="cs-CZ"/>
        </w:rPr>
        <w:t xml:space="preserve">z jiného bankovního účtu, než toho, prostřednictvím nějž byla ověřena identita Investora, je </w:t>
      </w:r>
      <w:proofErr w:type="spellStart"/>
      <w:r w:rsidR="00784307">
        <w:rPr>
          <w:sz w:val="18"/>
          <w:szCs w:val="18"/>
          <w:lang w:val="cs-CZ"/>
        </w:rPr>
        <w:t>Bankee</w:t>
      </w:r>
      <w:proofErr w:type="spellEnd"/>
      <w:r w:rsidR="00784307">
        <w:rPr>
          <w:sz w:val="18"/>
          <w:szCs w:val="18"/>
          <w:lang w:val="cs-CZ"/>
        </w:rPr>
        <w:t xml:space="preserve"> oprávněno tuto platbu zadržet na dobu až 30 dnů a zároveň vyzvat Investora k dodatečnému ověření tohoto účtu. Nedojde-li k</w:t>
      </w:r>
      <w:r w:rsidR="00452B48">
        <w:rPr>
          <w:sz w:val="18"/>
          <w:szCs w:val="18"/>
          <w:lang w:val="cs-CZ"/>
        </w:rPr>
        <w:t> </w:t>
      </w:r>
      <w:r w:rsidR="00784307">
        <w:rPr>
          <w:sz w:val="18"/>
          <w:szCs w:val="18"/>
          <w:lang w:val="cs-CZ"/>
        </w:rPr>
        <w:t>ověření</w:t>
      </w:r>
      <w:r w:rsidR="00452B48">
        <w:rPr>
          <w:sz w:val="18"/>
          <w:szCs w:val="18"/>
          <w:lang w:val="cs-CZ"/>
        </w:rPr>
        <w:t>,</w:t>
      </w:r>
      <w:r w:rsidR="00784307">
        <w:rPr>
          <w:sz w:val="18"/>
          <w:szCs w:val="18"/>
          <w:lang w:val="cs-CZ"/>
        </w:rPr>
        <w:t xml:space="preserve"> vrátí </w:t>
      </w:r>
      <w:proofErr w:type="spellStart"/>
      <w:r w:rsidR="00784307">
        <w:rPr>
          <w:sz w:val="18"/>
          <w:szCs w:val="18"/>
          <w:lang w:val="cs-CZ"/>
        </w:rPr>
        <w:t>Bankee</w:t>
      </w:r>
      <w:proofErr w:type="spellEnd"/>
      <w:r w:rsidR="00784307">
        <w:rPr>
          <w:sz w:val="18"/>
          <w:szCs w:val="18"/>
          <w:lang w:val="cs-CZ"/>
        </w:rPr>
        <w:t xml:space="preserve"> platbu nejpozději po uplynutí této lhůty zpět na účet</w:t>
      </w:r>
      <w:r w:rsidR="00FB39A6">
        <w:rPr>
          <w:sz w:val="18"/>
          <w:szCs w:val="18"/>
          <w:lang w:val="cs-CZ"/>
        </w:rPr>
        <w:t>,</w:t>
      </w:r>
      <w:r w:rsidR="00784307">
        <w:rPr>
          <w:sz w:val="18"/>
          <w:szCs w:val="18"/>
          <w:lang w:val="cs-CZ"/>
        </w:rPr>
        <w:t xml:space="preserve"> z nějž byla připsána a související Objednávka tím </w:t>
      </w:r>
      <w:r w:rsidR="00452B48">
        <w:rPr>
          <w:sz w:val="18"/>
          <w:szCs w:val="18"/>
          <w:lang w:val="cs-CZ"/>
        </w:rPr>
        <w:t>bez dalšího ke konci lhůty zaniká</w:t>
      </w:r>
      <w:r w:rsidR="00784307">
        <w:rPr>
          <w:sz w:val="18"/>
          <w:szCs w:val="18"/>
          <w:lang w:val="cs-CZ"/>
        </w:rPr>
        <w:t>.</w:t>
      </w:r>
    </w:p>
    <w:p w14:paraId="7AFA5C43" w14:textId="16770A1A" w:rsidR="00784307" w:rsidRPr="00784307" w:rsidRDefault="00784307" w:rsidP="00784307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 w:rsidRPr="00784307">
        <w:rPr>
          <w:sz w:val="18"/>
          <w:szCs w:val="18"/>
          <w:lang w:val="cs-CZ"/>
        </w:rPr>
        <w:t>K nabytí Participace</w:t>
      </w:r>
      <w:r>
        <w:rPr>
          <w:sz w:val="18"/>
          <w:szCs w:val="18"/>
          <w:lang w:val="cs-CZ"/>
        </w:rPr>
        <w:t xml:space="preserve"> Investorem dochází až okamžikem</w:t>
      </w:r>
      <w:r w:rsidR="00DE1EEF">
        <w:rPr>
          <w:sz w:val="18"/>
          <w:szCs w:val="18"/>
          <w:lang w:val="cs-CZ"/>
        </w:rPr>
        <w:t xml:space="preserve"> řádné</w:t>
      </w:r>
      <w:r>
        <w:rPr>
          <w:sz w:val="18"/>
          <w:szCs w:val="18"/>
          <w:lang w:val="cs-CZ"/>
        </w:rPr>
        <w:t xml:space="preserve"> úhrady </w:t>
      </w:r>
      <w:r w:rsidR="00127637">
        <w:rPr>
          <w:sz w:val="18"/>
          <w:szCs w:val="18"/>
          <w:lang w:val="cs-CZ"/>
        </w:rPr>
        <w:t>Investované částky</w:t>
      </w:r>
      <w:r>
        <w:rPr>
          <w:sz w:val="18"/>
          <w:szCs w:val="18"/>
          <w:lang w:val="cs-CZ"/>
        </w:rPr>
        <w:t xml:space="preserve"> a potvrzení nabytí ze strany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>, dle toho, která ze skutečností nastane později. Potvrzení o nabytí Participace bude Investorovi doručeno prostřednictvím Platformy, přičemž přehled nabytých Participací má Investor k dispozici v Platformě v</w:t>
      </w:r>
      <w:r w:rsidR="00D82ED0">
        <w:rPr>
          <w:sz w:val="18"/>
          <w:szCs w:val="18"/>
          <w:lang w:val="cs-CZ"/>
        </w:rPr>
        <w:t> rámci Investorského dashboardu</w:t>
      </w:r>
      <w:r>
        <w:rPr>
          <w:sz w:val="18"/>
          <w:szCs w:val="18"/>
          <w:lang w:val="cs-CZ"/>
        </w:rPr>
        <w:t>.</w:t>
      </w:r>
    </w:p>
    <w:p w14:paraId="1C570F0C" w14:textId="77777777" w:rsidR="00784307" w:rsidRPr="00124D61" w:rsidRDefault="00784307" w:rsidP="00784307">
      <w:pPr>
        <w:rPr>
          <w:sz w:val="18"/>
          <w:szCs w:val="18"/>
        </w:rPr>
      </w:pPr>
    </w:p>
    <w:p w14:paraId="0ADD422C" w14:textId="20CE260D" w:rsidR="006602F7" w:rsidRPr="00017378" w:rsidRDefault="0081253C" w:rsidP="00784307">
      <w:pPr>
        <w:pStyle w:val="Nadpis1"/>
        <w:tabs>
          <w:tab w:val="clear" w:pos="709"/>
          <w:tab w:val="num" w:pos="426"/>
        </w:tabs>
        <w:spacing w:before="0"/>
        <w:ind w:left="426" w:hanging="426"/>
        <w:rPr>
          <w:szCs w:val="18"/>
          <w:lang w:val="cs-CZ"/>
        </w:rPr>
      </w:pPr>
      <w:r w:rsidRPr="00784307">
        <w:rPr>
          <w:bCs/>
          <w:szCs w:val="18"/>
          <w:lang w:val="cs-CZ"/>
        </w:rPr>
        <w:t>SPRÁVA</w:t>
      </w:r>
      <w:r>
        <w:rPr>
          <w:szCs w:val="18"/>
          <w:lang w:val="cs-CZ"/>
        </w:rPr>
        <w:t xml:space="preserve"> PARTICIPAC</w:t>
      </w:r>
      <w:r w:rsidR="00FB39A6">
        <w:rPr>
          <w:szCs w:val="18"/>
          <w:lang w:val="cs-CZ"/>
        </w:rPr>
        <w:t>Í</w:t>
      </w:r>
      <w:r>
        <w:rPr>
          <w:szCs w:val="18"/>
          <w:lang w:val="cs-CZ"/>
        </w:rPr>
        <w:t>, VYMÁHÁNÍ</w:t>
      </w:r>
      <w:r w:rsidR="00D82ED0">
        <w:rPr>
          <w:szCs w:val="18"/>
          <w:lang w:val="cs-CZ"/>
        </w:rPr>
        <w:t xml:space="preserve"> A </w:t>
      </w:r>
      <w:r w:rsidR="00D82A5A">
        <w:rPr>
          <w:szCs w:val="18"/>
          <w:lang w:val="cs-CZ"/>
        </w:rPr>
        <w:t xml:space="preserve">tzv. </w:t>
      </w:r>
      <w:r w:rsidR="00E20C22">
        <w:rPr>
          <w:szCs w:val="18"/>
          <w:lang w:val="cs-CZ"/>
        </w:rPr>
        <w:t>„ZPĚTNÝ ODKUP“</w:t>
      </w:r>
      <w:r w:rsidR="002D0122">
        <w:rPr>
          <w:szCs w:val="18"/>
          <w:lang w:val="cs-CZ"/>
        </w:rPr>
        <w:t xml:space="preserve"> participace</w:t>
      </w:r>
    </w:p>
    <w:p w14:paraId="65404A7A" w14:textId="263E7B88" w:rsidR="00B631AF" w:rsidRPr="003203A0" w:rsidRDefault="00784307" w:rsidP="00784307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rFonts w:asciiTheme="minorHAnsi" w:hAnsiTheme="minorHAnsi"/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Na základě Rámcové smlouvy je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pověřen</w:t>
      </w:r>
      <w:r w:rsidR="00FB39A6">
        <w:rPr>
          <w:sz w:val="18"/>
          <w:szCs w:val="18"/>
          <w:lang w:val="cs-CZ"/>
        </w:rPr>
        <w:t>a</w:t>
      </w:r>
      <w:r>
        <w:rPr>
          <w:sz w:val="18"/>
          <w:szCs w:val="18"/>
          <w:lang w:val="cs-CZ"/>
        </w:rPr>
        <w:t xml:space="preserve"> od Investora komplexní správou Participací </w:t>
      </w:r>
      <w:r w:rsidR="00DE1EEF">
        <w:rPr>
          <w:sz w:val="18"/>
          <w:szCs w:val="18"/>
          <w:lang w:val="cs-CZ"/>
        </w:rPr>
        <w:t>a výkon</w:t>
      </w:r>
      <w:r w:rsidR="00FB39A6">
        <w:rPr>
          <w:sz w:val="18"/>
          <w:szCs w:val="18"/>
          <w:lang w:val="cs-CZ"/>
        </w:rPr>
        <w:t>em</w:t>
      </w:r>
      <w:r w:rsidR="00DE1EEF">
        <w:rPr>
          <w:sz w:val="18"/>
          <w:szCs w:val="18"/>
          <w:lang w:val="cs-CZ"/>
        </w:rPr>
        <w:t xml:space="preserve"> všech souvisejících práv v plném rozsahu</w:t>
      </w:r>
      <w:r w:rsidR="005A5FB4">
        <w:rPr>
          <w:rFonts w:asciiTheme="minorHAnsi" w:hAnsiTheme="minorHAnsi"/>
          <w:sz w:val="18"/>
          <w:szCs w:val="18"/>
          <w:lang w:val="cs-CZ"/>
        </w:rPr>
        <w:t>.</w:t>
      </w:r>
      <w:r w:rsidR="00DE1EEF">
        <w:rPr>
          <w:rFonts w:asciiTheme="minorHAnsi" w:hAnsiTheme="minorHAnsi"/>
          <w:sz w:val="18"/>
          <w:szCs w:val="18"/>
          <w:lang w:val="cs-CZ"/>
        </w:rPr>
        <w:t xml:space="preserve"> </w:t>
      </w:r>
      <w:proofErr w:type="spellStart"/>
      <w:r w:rsidR="00DE1EEF">
        <w:rPr>
          <w:rFonts w:asciiTheme="minorHAnsi" w:hAnsiTheme="minorHAnsi"/>
          <w:sz w:val="18"/>
          <w:szCs w:val="18"/>
          <w:lang w:val="cs-CZ"/>
        </w:rPr>
        <w:t>Bankee</w:t>
      </w:r>
      <w:proofErr w:type="spellEnd"/>
      <w:r w:rsidR="00DE1EEF">
        <w:rPr>
          <w:rFonts w:asciiTheme="minorHAnsi" w:hAnsiTheme="minorHAnsi"/>
          <w:sz w:val="18"/>
          <w:szCs w:val="18"/>
          <w:lang w:val="cs-CZ"/>
        </w:rPr>
        <w:t xml:space="preserve"> tedy jedná svým jménem na účet Investora jakožto komisionář ve smyslu </w:t>
      </w:r>
      <w:r w:rsidR="00DE1EEF">
        <w:rPr>
          <w:rFonts w:asciiTheme="minorHAnsi" w:hAnsiTheme="minorHAnsi"/>
          <w:sz w:val="18"/>
          <w:szCs w:val="18"/>
          <w:lang w:val="cs-CZ"/>
        </w:rPr>
        <w:br/>
        <w:t>§ 2455 a násl. Občanského zákoníku.</w:t>
      </w:r>
      <w:r w:rsidR="006E7EE5">
        <w:rPr>
          <w:rFonts w:asciiTheme="minorHAnsi" w:hAnsiTheme="minorHAnsi"/>
          <w:sz w:val="18"/>
          <w:szCs w:val="18"/>
          <w:lang w:val="cs-CZ"/>
        </w:rPr>
        <w:t xml:space="preserve"> </w:t>
      </w:r>
    </w:p>
    <w:p w14:paraId="6E7628DF" w14:textId="631E6197" w:rsidR="003D5266" w:rsidRDefault="00DE1EEF" w:rsidP="00DE1EEF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rFonts w:asciiTheme="minorHAnsi" w:hAnsiTheme="minorHAnsi"/>
          <w:sz w:val="18"/>
          <w:szCs w:val="18"/>
          <w:lang w:val="cs-CZ"/>
        </w:rPr>
      </w:pPr>
      <w:r>
        <w:rPr>
          <w:rFonts w:asciiTheme="minorHAnsi" w:hAnsiTheme="minorHAnsi"/>
          <w:sz w:val="18"/>
          <w:szCs w:val="18"/>
          <w:lang w:val="cs-CZ"/>
        </w:rPr>
        <w:t xml:space="preserve">Rozsah Správy Participací, jakož i oprávnění a povinnosti </w:t>
      </w:r>
      <w:proofErr w:type="spellStart"/>
      <w:r>
        <w:rPr>
          <w:rFonts w:asciiTheme="minorHAnsi" w:hAnsiTheme="minorHAnsi"/>
          <w:sz w:val="18"/>
          <w:szCs w:val="18"/>
          <w:lang w:val="cs-CZ"/>
        </w:rPr>
        <w:t>Bankee</w:t>
      </w:r>
      <w:proofErr w:type="spellEnd"/>
      <w:r>
        <w:rPr>
          <w:rFonts w:asciiTheme="minorHAnsi" w:hAnsiTheme="minorHAnsi"/>
          <w:sz w:val="18"/>
          <w:szCs w:val="18"/>
          <w:lang w:val="cs-CZ"/>
        </w:rPr>
        <w:t xml:space="preserve"> jakožto komisionáře (správce) a Investora jakožto komitenta (klienta) </w:t>
      </w:r>
      <w:r w:rsidR="00C61D49">
        <w:rPr>
          <w:rFonts w:asciiTheme="minorHAnsi" w:hAnsiTheme="minorHAnsi"/>
          <w:sz w:val="18"/>
          <w:szCs w:val="18"/>
          <w:lang w:val="cs-CZ"/>
        </w:rPr>
        <w:t xml:space="preserve">je podrobně vymezen v Rámcové smlouvě. </w:t>
      </w:r>
      <w:proofErr w:type="spellStart"/>
      <w:r w:rsidR="00C61D49">
        <w:rPr>
          <w:rFonts w:asciiTheme="minorHAnsi" w:hAnsiTheme="minorHAnsi"/>
          <w:sz w:val="18"/>
          <w:szCs w:val="18"/>
          <w:lang w:val="cs-CZ"/>
        </w:rPr>
        <w:t>Bankee</w:t>
      </w:r>
      <w:proofErr w:type="spellEnd"/>
      <w:r w:rsidR="00C61D49">
        <w:rPr>
          <w:rFonts w:asciiTheme="minorHAnsi" w:hAnsiTheme="minorHAnsi"/>
          <w:sz w:val="18"/>
          <w:szCs w:val="18"/>
          <w:lang w:val="cs-CZ"/>
        </w:rPr>
        <w:t xml:space="preserve"> při Správě Participací postupuje vždy v souladu s právními předpisy, těmito Obchodními podmínkami, Rámcovou smlouvou a pokyny Investora, </w:t>
      </w:r>
      <w:r w:rsidR="00FB39A6">
        <w:rPr>
          <w:rFonts w:asciiTheme="minorHAnsi" w:hAnsiTheme="minorHAnsi"/>
          <w:sz w:val="18"/>
          <w:szCs w:val="18"/>
          <w:lang w:val="cs-CZ"/>
        </w:rPr>
        <w:t>jsou-li</w:t>
      </w:r>
      <w:r w:rsidR="00C61D49">
        <w:rPr>
          <w:rFonts w:asciiTheme="minorHAnsi" w:hAnsiTheme="minorHAnsi"/>
          <w:sz w:val="18"/>
          <w:szCs w:val="18"/>
          <w:lang w:val="cs-CZ"/>
        </w:rPr>
        <w:t xml:space="preserve"> v souladu s těmito dokumenty.</w:t>
      </w:r>
      <w:r w:rsidR="006E7EE5">
        <w:rPr>
          <w:rFonts w:asciiTheme="minorHAnsi" w:hAnsiTheme="minorHAnsi"/>
          <w:sz w:val="18"/>
          <w:szCs w:val="18"/>
          <w:lang w:val="cs-CZ"/>
        </w:rPr>
        <w:t xml:space="preserve"> Správa Participac</w:t>
      </w:r>
      <w:r w:rsidR="00FB39A6">
        <w:rPr>
          <w:rFonts w:asciiTheme="minorHAnsi" w:hAnsiTheme="minorHAnsi"/>
          <w:sz w:val="18"/>
          <w:szCs w:val="18"/>
          <w:lang w:val="cs-CZ"/>
        </w:rPr>
        <w:t>í</w:t>
      </w:r>
      <w:r w:rsidR="006E7EE5">
        <w:rPr>
          <w:rFonts w:asciiTheme="minorHAnsi" w:hAnsiTheme="minorHAnsi"/>
          <w:sz w:val="18"/>
          <w:szCs w:val="18"/>
          <w:lang w:val="cs-CZ"/>
        </w:rPr>
        <w:t xml:space="preserve"> nezahrnuje oznámení o Participaci (tj. o postoupení dílčích pohledávek z Úvěru) vůči Úvěrovanému.</w:t>
      </w:r>
    </w:p>
    <w:p w14:paraId="23C995FD" w14:textId="6FCB45A2" w:rsidR="00D82ED0" w:rsidRPr="00127637" w:rsidRDefault="00C61D49" w:rsidP="00C61D49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rFonts w:asciiTheme="minorHAnsi" w:hAnsiTheme="minorHAnsi"/>
          <w:sz w:val="18"/>
          <w:szCs w:val="18"/>
          <w:lang w:val="cs-CZ"/>
        </w:rPr>
      </w:pPr>
      <w:r w:rsidRPr="00C61D49">
        <w:rPr>
          <w:rFonts w:asciiTheme="minorHAnsi" w:hAnsiTheme="minorHAnsi"/>
          <w:sz w:val="18"/>
          <w:szCs w:val="18"/>
          <w:lang w:val="cs-CZ"/>
        </w:rPr>
        <w:t xml:space="preserve">Správa Participací zahrnuje </w:t>
      </w:r>
      <w:r w:rsidR="00D82ED0">
        <w:rPr>
          <w:rFonts w:asciiTheme="minorHAnsi" w:hAnsiTheme="minorHAnsi"/>
          <w:sz w:val="18"/>
          <w:szCs w:val="18"/>
          <w:lang w:val="cs-CZ"/>
        </w:rPr>
        <w:t xml:space="preserve">v omezeném rozsahu </w:t>
      </w:r>
      <w:r>
        <w:rPr>
          <w:rFonts w:asciiTheme="minorHAnsi" w:hAnsiTheme="minorHAnsi"/>
          <w:sz w:val="18"/>
          <w:szCs w:val="18"/>
          <w:lang w:val="cs-CZ"/>
        </w:rPr>
        <w:t>i vymáhání Splatných pohledáve</w:t>
      </w:r>
      <w:r w:rsidR="00D82ED0">
        <w:rPr>
          <w:rFonts w:asciiTheme="minorHAnsi" w:hAnsiTheme="minorHAnsi"/>
          <w:sz w:val="18"/>
          <w:szCs w:val="18"/>
          <w:lang w:val="cs-CZ"/>
        </w:rPr>
        <w:t>k</w:t>
      </w:r>
      <w:r>
        <w:rPr>
          <w:rFonts w:asciiTheme="minorHAnsi" w:hAnsiTheme="minorHAnsi"/>
          <w:sz w:val="18"/>
          <w:szCs w:val="18"/>
          <w:lang w:val="cs-CZ"/>
        </w:rPr>
        <w:t xml:space="preserve"> </w:t>
      </w:r>
      <w:proofErr w:type="spellStart"/>
      <w:r w:rsidR="00D82ED0">
        <w:rPr>
          <w:rFonts w:asciiTheme="minorHAnsi" w:hAnsiTheme="minorHAnsi"/>
          <w:sz w:val="18"/>
          <w:szCs w:val="18"/>
          <w:lang w:val="cs-CZ"/>
        </w:rPr>
        <w:t>Bankee</w:t>
      </w:r>
      <w:proofErr w:type="spellEnd"/>
      <w:r w:rsidR="00D82ED0">
        <w:rPr>
          <w:rFonts w:asciiTheme="minorHAnsi" w:hAnsiTheme="minorHAnsi"/>
          <w:sz w:val="18"/>
          <w:szCs w:val="18"/>
          <w:lang w:val="cs-CZ"/>
        </w:rPr>
        <w:t xml:space="preserve">. Prioritním cílem </w:t>
      </w:r>
      <w:proofErr w:type="spellStart"/>
      <w:r w:rsidR="00D82ED0">
        <w:rPr>
          <w:rFonts w:asciiTheme="minorHAnsi" w:hAnsiTheme="minorHAnsi"/>
          <w:sz w:val="18"/>
          <w:szCs w:val="18"/>
          <w:lang w:val="cs-CZ"/>
        </w:rPr>
        <w:t>Bankee</w:t>
      </w:r>
      <w:proofErr w:type="spellEnd"/>
      <w:r w:rsidR="00D82ED0">
        <w:rPr>
          <w:rFonts w:asciiTheme="minorHAnsi" w:hAnsiTheme="minorHAnsi"/>
          <w:sz w:val="18"/>
          <w:szCs w:val="18"/>
          <w:lang w:val="cs-CZ"/>
        </w:rPr>
        <w:t xml:space="preserve"> </w:t>
      </w:r>
      <w:r w:rsidR="00D82ED0">
        <w:rPr>
          <w:rFonts w:asciiTheme="minorHAnsi" w:hAnsiTheme="minorHAnsi"/>
          <w:sz w:val="18"/>
          <w:szCs w:val="18"/>
          <w:lang w:val="cs-CZ"/>
        </w:rPr>
        <w:t>v případě nastalého či hrozícího porušení ze strany Úvěrovaného nebo v případě vzniku Splatných pohledávek je dohoda s</w:t>
      </w:r>
      <w:r w:rsidR="000C11E3">
        <w:rPr>
          <w:rFonts w:asciiTheme="minorHAnsi" w:hAnsiTheme="minorHAnsi"/>
          <w:sz w:val="18"/>
          <w:szCs w:val="18"/>
          <w:lang w:val="cs-CZ"/>
        </w:rPr>
        <w:t> </w:t>
      </w:r>
      <w:r w:rsidR="00D82ED0">
        <w:rPr>
          <w:rFonts w:asciiTheme="minorHAnsi" w:hAnsiTheme="minorHAnsi"/>
          <w:sz w:val="18"/>
          <w:szCs w:val="18"/>
          <w:lang w:val="cs-CZ"/>
        </w:rPr>
        <w:t>Úvěrovaným</w:t>
      </w:r>
      <w:r w:rsidR="000C11E3">
        <w:rPr>
          <w:rFonts w:asciiTheme="minorHAnsi" w:hAnsiTheme="minorHAnsi"/>
          <w:sz w:val="18"/>
          <w:szCs w:val="18"/>
          <w:lang w:val="cs-CZ"/>
        </w:rPr>
        <w:t xml:space="preserve"> a obnov</w:t>
      </w:r>
      <w:r w:rsidR="009622C5">
        <w:rPr>
          <w:rFonts w:asciiTheme="minorHAnsi" w:hAnsiTheme="minorHAnsi"/>
          <w:sz w:val="18"/>
          <w:szCs w:val="18"/>
          <w:lang w:val="cs-CZ"/>
        </w:rPr>
        <w:t>ení řádných úhrad</w:t>
      </w:r>
      <w:r w:rsidR="0036014C">
        <w:rPr>
          <w:rFonts w:asciiTheme="minorHAnsi" w:hAnsiTheme="minorHAnsi"/>
          <w:sz w:val="18"/>
          <w:szCs w:val="18"/>
          <w:lang w:val="cs-CZ"/>
        </w:rPr>
        <w:t xml:space="preserve"> Plnění</w:t>
      </w:r>
      <w:r w:rsidR="009622C5">
        <w:rPr>
          <w:rFonts w:asciiTheme="minorHAnsi" w:hAnsiTheme="minorHAnsi"/>
          <w:sz w:val="18"/>
          <w:szCs w:val="18"/>
          <w:lang w:val="cs-CZ"/>
        </w:rPr>
        <w:t xml:space="preserve"> od Úvěrovaného</w:t>
      </w:r>
      <w:r w:rsidR="00D82ED0">
        <w:rPr>
          <w:rFonts w:asciiTheme="minorHAnsi" w:hAnsiTheme="minorHAnsi"/>
          <w:sz w:val="18"/>
          <w:szCs w:val="18"/>
          <w:lang w:val="cs-CZ"/>
        </w:rPr>
        <w:t xml:space="preserve">. </w:t>
      </w:r>
      <w:bookmarkStart w:id="4" w:name="_Hlk216261332"/>
      <w:r w:rsidR="00D82ED0">
        <w:rPr>
          <w:rFonts w:asciiTheme="minorHAnsi" w:hAnsiTheme="minorHAnsi"/>
          <w:sz w:val="18"/>
          <w:szCs w:val="18"/>
          <w:lang w:val="cs-CZ"/>
        </w:rPr>
        <w:t xml:space="preserve">Nedojde-li </w:t>
      </w:r>
      <w:r w:rsidR="009622C5">
        <w:rPr>
          <w:rFonts w:asciiTheme="minorHAnsi" w:hAnsiTheme="minorHAnsi"/>
          <w:sz w:val="18"/>
          <w:szCs w:val="18"/>
          <w:lang w:val="cs-CZ"/>
        </w:rPr>
        <w:t xml:space="preserve">v období 90 dnů od vzniku Splatných pohledávek k obnově úhrad </w:t>
      </w:r>
      <w:r w:rsidR="0036014C">
        <w:rPr>
          <w:rFonts w:asciiTheme="minorHAnsi" w:hAnsiTheme="minorHAnsi"/>
          <w:sz w:val="18"/>
          <w:szCs w:val="18"/>
          <w:lang w:val="cs-CZ"/>
        </w:rPr>
        <w:t xml:space="preserve">Plnění </w:t>
      </w:r>
      <w:r w:rsidR="009622C5">
        <w:rPr>
          <w:rFonts w:asciiTheme="minorHAnsi" w:hAnsiTheme="minorHAnsi"/>
          <w:sz w:val="18"/>
          <w:szCs w:val="18"/>
          <w:lang w:val="cs-CZ"/>
        </w:rPr>
        <w:t xml:space="preserve">od Úvěrovaného či k uzavření odpovídající dohody s Úvěrovaným (např. o dodatečném zajištění či splátkovém kalendáři), </w:t>
      </w:r>
      <w:bookmarkEnd w:id="4"/>
      <w:r w:rsidR="009622C5">
        <w:rPr>
          <w:rFonts w:asciiTheme="minorHAnsi" w:hAnsiTheme="minorHAnsi"/>
          <w:sz w:val="18"/>
          <w:szCs w:val="18"/>
          <w:lang w:val="cs-CZ"/>
        </w:rPr>
        <w:t xml:space="preserve">pak </w:t>
      </w:r>
      <w:proofErr w:type="spellStart"/>
      <w:r w:rsidR="009622C5">
        <w:rPr>
          <w:rFonts w:asciiTheme="minorHAnsi" w:hAnsiTheme="minorHAnsi"/>
          <w:sz w:val="18"/>
          <w:szCs w:val="18"/>
          <w:lang w:val="cs-CZ"/>
        </w:rPr>
        <w:t>Bankee</w:t>
      </w:r>
      <w:proofErr w:type="spellEnd"/>
      <w:r w:rsidR="009622C5">
        <w:rPr>
          <w:rFonts w:asciiTheme="minorHAnsi" w:hAnsiTheme="minorHAnsi"/>
          <w:sz w:val="18"/>
          <w:szCs w:val="18"/>
          <w:lang w:val="cs-CZ"/>
        </w:rPr>
        <w:t xml:space="preserve"> </w:t>
      </w:r>
      <w:r w:rsidR="009622C5" w:rsidRPr="00127637">
        <w:rPr>
          <w:rFonts w:asciiTheme="minorHAnsi" w:hAnsiTheme="minorHAnsi"/>
          <w:sz w:val="18"/>
          <w:szCs w:val="18"/>
          <w:lang w:val="cs-CZ"/>
        </w:rPr>
        <w:t xml:space="preserve">vyvine maximální úsilí </w:t>
      </w:r>
      <w:bookmarkStart w:id="5" w:name="_Hlk216261750"/>
      <w:r w:rsidR="00C426F9" w:rsidRPr="00127637">
        <w:rPr>
          <w:rFonts w:asciiTheme="minorHAnsi" w:hAnsiTheme="minorHAnsi"/>
          <w:sz w:val="18"/>
          <w:szCs w:val="18"/>
          <w:lang w:val="cs-CZ"/>
        </w:rPr>
        <w:t>k</w:t>
      </w:r>
      <w:r w:rsidR="009622C5" w:rsidRPr="00127637">
        <w:rPr>
          <w:rFonts w:asciiTheme="minorHAnsi" w:hAnsiTheme="minorHAnsi"/>
          <w:sz w:val="18"/>
          <w:szCs w:val="18"/>
          <w:lang w:val="cs-CZ"/>
        </w:rPr>
        <w:t xml:space="preserve"> zajištění odkupu </w:t>
      </w:r>
      <w:bookmarkStart w:id="6" w:name="_Hlk216257525"/>
      <w:r w:rsidR="009622C5" w:rsidRPr="00127637">
        <w:rPr>
          <w:rFonts w:asciiTheme="minorHAnsi" w:hAnsiTheme="minorHAnsi"/>
          <w:sz w:val="18"/>
          <w:szCs w:val="18"/>
          <w:lang w:val="cs-CZ"/>
        </w:rPr>
        <w:t xml:space="preserve">Participace </w:t>
      </w:r>
      <w:bookmarkStart w:id="7" w:name="_Hlk216258100"/>
      <w:r w:rsidR="009622C5" w:rsidRPr="00127637">
        <w:rPr>
          <w:rFonts w:asciiTheme="minorHAnsi" w:hAnsiTheme="minorHAnsi"/>
          <w:sz w:val="18"/>
          <w:szCs w:val="18"/>
          <w:lang w:val="cs-CZ"/>
        </w:rPr>
        <w:t>třetí osobou specializovanou na nákup a vymáhání pohledávek</w:t>
      </w:r>
      <w:bookmarkEnd w:id="6"/>
      <w:bookmarkEnd w:id="7"/>
      <w:bookmarkEnd w:id="5"/>
      <w:r w:rsidR="009622C5" w:rsidRPr="00127637">
        <w:rPr>
          <w:rFonts w:asciiTheme="minorHAnsi" w:hAnsiTheme="minorHAnsi"/>
          <w:sz w:val="18"/>
          <w:szCs w:val="18"/>
          <w:lang w:val="cs-CZ"/>
        </w:rPr>
        <w:t xml:space="preserve">, </w:t>
      </w:r>
      <w:bookmarkStart w:id="8" w:name="_Hlk216258166"/>
      <w:r w:rsidR="009622C5" w:rsidRPr="00127637">
        <w:rPr>
          <w:rFonts w:asciiTheme="minorHAnsi" w:hAnsiTheme="minorHAnsi"/>
          <w:sz w:val="18"/>
          <w:szCs w:val="18"/>
          <w:lang w:val="cs-CZ"/>
        </w:rPr>
        <w:t>a to za úplatu odpovídající 100</w:t>
      </w:r>
      <w:r w:rsidR="00E0522C" w:rsidRPr="00127637">
        <w:rPr>
          <w:rFonts w:asciiTheme="minorHAnsi" w:hAnsiTheme="minorHAnsi"/>
          <w:sz w:val="18"/>
          <w:szCs w:val="18"/>
          <w:lang w:val="cs-CZ"/>
        </w:rPr>
        <w:t xml:space="preserve"> </w:t>
      </w:r>
      <w:r w:rsidR="009622C5" w:rsidRPr="00127637">
        <w:rPr>
          <w:rFonts w:asciiTheme="minorHAnsi" w:hAnsiTheme="minorHAnsi"/>
          <w:sz w:val="18"/>
          <w:szCs w:val="18"/>
          <w:lang w:val="cs-CZ"/>
        </w:rPr>
        <w:t>% nominální hodnotě Splatných pohledávek</w:t>
      </w:r>
      <w:r w:rsidR="00127637" w:rsidRPr="00127637">
        <w:rPr>
          <w:sz w:val="22"/>
          <w:szCs w:val="18"/>
          <w:lang w:val="cs-CZ"/>
        </w:rPr>
        <w:t xml:space="preserve"> </w:t>
      </w:r>
      <w:r w:rsidR="00127637" w:rsidRPr="00127637">
        <w:rPr>
          <w:rFonts w:asciiTheme="minorHAnsi" w:hAnsiTheme="minorHAnsi"/>
          <w:sz w:val="18"/>
          <w:szCs w:val="18"/>
          <w:lang w:val="cs-CZ"/>
        </w:rPr>
        <w:t>navýšené o smluvní úrok za toto období</w:t>
      </w:r>
      <w:r w:rsidR="003B518C" w:rsidRPr="00127637">
        <w:rPr>
          <w:rFonts w:asciiTheme="minorHAnsi" w:hAnsiTheme="minorHAnsi"/>
          <w:sz w:val="18"/>
          <w:szCs w:val="18"/>
          <w:lang w:val="cs-CZ"/>
        </w:rPr>
        <w:t xml:space="preserve"> (</w:t>
      </w:r>
      <w:r w:rsidR="00127637" w:rsidRPr="00127637">
        <w:rPr>
          <w:rFonts w:asciiTheme="minorHAnsi" w:hAnsiTheme="minorHAnsi"/>
          <w:sz w:val="18"/>
          <w:szCs w:val="18"/>
          <w:lang w:val="cs-CZ"/>
        </w:rPr>
        <w:t xml:space="preserve">avšak bez </w:t>
      </w:r>
      <w:r w:rsidR="003B518C" w:rsidRPr="00127637">
        <w:rPr>
          <w:rFonts w:asciiTheme="minorHAnsi" w:hAnsiTheme="minorHAnsi"/>
          <w:sz w:val="18"/>
          <w:szCs w:val="18"/>
          <w:lang w:val="cs-CZ"/>
        </w:rPr>
        <w:t>úroků z</w:t>
      </w:r>
      <w:r w:rsidR="00B43D4E" w:rsidRPr="00127637">
        <w:rPr>
          <w:rFonts w:asciiTheme="minorHAnsi" w:hAnsiTheme="minorHAnsi"/>
          <w:sz w:val="18"/>
          <w:szCs w:val="18"/>
          <w:lang w:val="cs-CZ"/>
        </w:rPr>
        <w:t> </w:t>
      </w:r>
      <w:r w:rsidR="003B518C" w:rsidRPr="00127637">
        <w:rPr>
          <w:rFonts w:asciiTheme="minorHAnsi" w:hAnsiTheme="minorHAnsi"/>
          <w:sz w:val="18"/>
          <w:szCs w:val="18"/>
          <w:lang w:val="cs-CZ"/>
        </w:rPr>
        <w:t>prodlení</w:t>
      </w:r>
      <w:r w:rsidR="00B43D4E" w:rsidRPr="00127637">
        <w:rPr>
          <w:rFonts w:asciiTheme="minorHAnsi" w:hAnsiTheme="minorHAnsi"/>
          <w:sz w:val="18"/>
          <w:szCs w:val="18"/>
          <w:lang w:val="cs-CZ"/>
        </w:rPr>
        <w:t>,</w:t>
      </w:r>
      <w:r w:rsidR="003B518C" w:rsidRPr="00127637">
        <w:rPr>
          <w:rFonts w:asciiTheme="minorHAnsi" w:hAnsiTheme="minorHAnsi"/>
          <w:sz w:val="18"/>
          <w:szCs w:val="18"/>
          <w:lang w:val="cs-CZ"/>
        </w:rPr>
        <w:t xml:space="preserve"> smluvních pokut</w:t>
      </w:r>
      <w:r w:rsidR="00B43D4E" w:rsidRPr="00127637">
        <w:rPr>
          <w:rFonts w:asciiTheme="minorHAnsi" w:hAnsiTheme="minorHAnsi"/>
          <w:sz w:val="18"/>
          <w:szCs w:val="18"/>
          <w:lang w:val="cs-CZ"/>
        </w:rPr>
        <w:t xml:space="preserve"> a případného dalšího příslušenství</w:t>
      </w:r>
      <w:r w:rsidR="003B518C" w:rsidRPr="00127637">
        <w:rPr>
          <w:rFonts w:asciiTheme="minorHAnsi" w:hAnsiTheme="minorHAnsi"/>
          <w:sz w:val="18"/>
          <w:szCs w:val="18"/>
          <w:lang w:val="cs-CZ"/>
        </w:rPr>
        <w:t>)</w:t>
      </w:r>
      <w:bookmarkEnd w:id="8"/>
      <w:r w:rsidR="009622C5" w:rsidRPr="00127637">
        <w:rPr>
          <w:rFonts w:asciiTheme="minorHAnsi" w:hAnsiTheme="minorHAnsi"/>
          <w:sz w:val="18"/>
          <w:szCs w:val="18"/>
          <w:lang w:val="cs-CZ"/>
        </w:rPr>
        <w:t>, respektive podílu na Investora na nich na základě Participace.</w:t>
      </w:r>
    </w:p>
    <w:p w14:paraId="68C1F34E" w14:textId="7A4C010C" w:rsidR="00C61D49" w:rsidRPr="00127637" w:rsidRDefault="00D82ED0" w:rsidP="00C61D49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rFonts w:asciiTheme="minorHAnsi" w:hAnsiTheme="minorHAnsi"/>
          <w:sz w:val="18"/>
          <w:szCs w:val="18"/>
          <w:lang w:val="cs-CZ"/>
        </w:rPr>
      </w:pPr>
      <w:r w:rsidRPr="00127637">
        <w:rPr>
          <w:rFonts w:asciiTheme="minorHAnsi" w:hAnsiTheme="minorHAnsi"/>
          <w:sz w:val="18"/>
          <w:szCs w:val="18"/>
          <w:lang w:val="cs-CZ"/>
        </w:rPr>
        <w:t>V</w:t>
      </w:r>
      <w:r w:rsidR="00C61D49" w:rsidRPr="00127637">
        <w:rPr>
          <w:rFonts w:asciiTheme="minorHAnsi" w:hAnsiTheme="minorHAnsi"/>
          <w:sz w:val="18"/>
          <w:szCs w:val="18"/>
          <w:lang w:val="cs-CZ"/>
        </w:rPr>
        <w:t> rámci vymáhání</w:t>
      </w:r>
      <w:r w:rsidR="00982634" w:rsidRPr="00127637">
        <w:rPr>
          <w:rFonts w:asciiTheme="minorHAnsi" w:hAnsiTheme="minorHAnsi"/>
          <w:sz w:val="18"/>
          <w:szCs w:val="18"/>
          <w:lang w:val="cs-CZ"/>
        </w:rPr>
        <w:t xml:space="preserve"> Splatných pohledávek</w:t>
      </w:r>
      <w:r w:rsidR="009622C5" w:rsidRPr="00127637">
        <w:rPr>
          <w:rFonts w:asciiTheme="minorHAnsi" w:hAnsiTheme="minorHAnsi"/>
          <w:sz w:val="18"/>
          <w:szCs w:val="18"/>
          <w:lang w:val="cs-CZ"/>
        </w:rPr>
        <w:t xml:space="preserve"> během 90-denního období uvedeného v bodě 5.3</w:t>
      </w:r>
      <w:r w:rsidR="00C61D49" w:rsidRPr="00127637">
        <w:rPr>
          <w:rFonts w:asciiTheme="minorHAnsi" w:hAnsiTheme="minorHAnsi"/>
          <w:sz w:val="18"/>
          <w:szCs w:val="18"/>
          <w:lang w:val="cs-CZ"/>
        </w:rPr>
        <w:t xml:space="preserve"> </w:t>
      </w:r>
      <w:r w:rsidR="00982634" w:rsidRPr="00127637">
        <w:rPr>
          <w:rFonts w:asciiTheme="minorHAnsi" w:hAnsiTheme="minorHAnsi"/>
          <w:sz w:val="18"/>
          <w:szCs w:val="18"/>
          <w:lang w:val="cs-CZ"/>
        </w:rPr>
        <w:t>postupuje</w:t>
      </w:r>
      <w:r w:rsidRPr="00127637">
        <w:rPr>
          <w:rFonts w:asciiTheme="minorHAnsi" w:hAnsiTheme="minorHAnsi"/>
          <w:sz w:val="18"/>
          <w:szCs w:val="18"/>
          <w:lang w:val="cs-CZ"/>
        </w:rPr>
        <w:t xml:space="preserve"> </w:t>
      </w:r>
      <w:proofErr w:type="spellStart"/>
      <w:r w:rsidRPr="00127637">
        <w:rPr>
          <w:rFonts w:asciiTheme="minorHAnsi" w:hAnsiTheme="minorHAnsi"/>
          <w:sz w:val="18"/>
          <w:szCs w:val="18"/>
          <w:lang w:val="cs-CZ"/>
        </w:rPr>
        <w:t>Bankee</w:t>
      </w:r>
      <w:proofErr w:type="spellEnd"/>
      <w:r w:rsidR="00982634" w:rsidRPr="00127637">
        <w:rPr>
          <w:rFonts w:asciiTheme="minorHAnsi" w:hAnsiTheme="minorHAnsi"/>
          <w:sz w:val="18"/>
          <w:szCs w:val="18"/>
          <w:lang w:val="cs-CZ"/>
        </w:rPr>
        <w:t xml:space="preserve"> na základě vlastního odborného uvážení, přičemž </w:t>
      </w:r>
      <w:r w:rsidR="00C61D49" w:rsidRPr="00127637">
        <w:rPr>
          <w:rFonts w:asciiTheme="minorHAnsi" w:hAnsiTheme="minorHAnsi"/>
          <w:sz w:val="18"/>
          <w:szCs w:val="18"/>
          <w:lang w:val="cs-CZ"/>
        </w:rPr>
        <w:t>vy</w:t>
      </w:r>
      <w:r w:rsidR="00982634" w:rsidRPr="00127637">
        <w:rPr>
          <w:rFonts w:asciiTheme="minorHAnsi" w:hAnsiTheme="minorHAnsi"/>
          <w:sz w:val="18"/>
          <w:szCs w:val="18"/>
          <w:lang w:val="cs-CZ"/>
        </w:rPr>
        <w:t>víjí</w:t>
      </w:r>
      <w:r w:rsidR="00C61D49" w:rsidRPr="00127637">
        <w:rPr>
          <w:rFonts w:asciiTheme="minorHAnsi" w:hAnsiTheme="minorHAnsi"/>
          <w:sz w:val="18"/>
          <w:szCs w:val="18"/>
          <w:lang w:val="cs-CZ"/>
        </w:rPr>
        <w:t xml:space="preserve"> </w:t>
      </w:r>
      <w:r w:rsidR="00FB39A6" w:rsidRPr="00127637">
        <w:rPr>
          <w:rFonts w:asciiTheme="minorHAnsi" w:hAnsiTheme="minorHAnsi"/>
          <w:sz w:val="18"/>
          <w:szCs w:val="18"/>
          <w:lang w:val="cs-CZ"/>
        </w:rPr>
        <w:t xml:space="preserve">a vynaloží </w:t>
      </w:r>
      <w:r w:rsidR="0085292D" w:rsidRPr="00127637">
        <w:rPr>
          <w:rFonts w:asciiTheme="minorHAnsi" w:hAnsiTheme="minorHAnsi"/>
          <w:sz w:val="18"/>
          <w:szCs w:val="18"/>
          <w:lang w:val="cs-CZ"/>
        </w:rPr>
        <w:t xml:space="preserve">veškeré </w:t>
      </w:r>
      <w:r w:rsidR="00C61D49" w:rsidRPr="00127637">
        <w:rPr>
          <w:rFonts w:asciiTheme="minorHAnsi" w:hAnsiTheme="minorHAnsi"/>
          <w:sz w:val="18"/>
          <w:szCs w:val="18"/>
          <w:lang w:val="cs-CZ"/>
        </w:rPr>
        <w:t>rozumné úsilí</w:t>
      </w:r>
      <w:r w:rsidR="00982634" w:rsidRPr="00127637">
        <w:rPr>
          <w:rFonts w:asciiTheme="minorHAnsi" w:hAnsiTheme="minorHAnsi"/>
          <w:sz w:val="18"/>
          <w:szCs w:val="18"/>
          <w:lang w:val="cs-CZ"/>
        </w:rPr>
        <w:t>, které lze</w:t>
      </w:r>
      <w:r w:rsidR="00C61D49" w:rsidRPr="00127637">
        <w:rPr>
          <w:rFonts w:asciiTheme="minorHAnsi" w:hAnsiTheme="minorHAnsi"/>
          <w:sz w:val="18"/>
          <w:szCs w:val="18"/>
          <w:lang w:val="cs-CZ"/>
        </w:rPr>
        <w:t xml:space="preserve"> s ohledem na její odborné znalosti a ekonomickou situaci Úvěrovanéh</w:t>
      </w:r>
      <w:r w:rsidR="00982634" w:rsidRPr="00127637">
        <w:rPr>
          <w:rFonts w:asciiTheme="minorHAnsi" w:hAnsiTheme="minorHAnsi"/>
          <w:sz w:val="18"/>
          <w:szCs w:val="18"/>
          <w:lang w:val="cs-CZ"/>
        </w:rPr>
        <w:t>o považovat za odpovídající předmětné situaci</w:t>
      </w:r>
      <w:r w:rsidR="00C61D49" w:rsidRPr="00127637">
        <w:rPr>
          <w:rFonts w:asciiTheme="minorHAnsi" w:hAnsiTheme="minorHAnsi"/>
          <w:sz w:val="18"/>
          <w:szCs w:val="18"/>
          <w:lang w:val="cs-CZ"/>
        </w:rPr>
        <w:t>, a to s cílem na efektivní uspokojení Splatných pohledávek.</w:t>
      </w:r>
    </w:p>
    <w:p w14:paraId="735B731D" w14:textId="34F2B1AD" w:rsidR="006E77D1" w:rsidRPr="00164B28" w:rsidRDefault="00C61D49" w:rsidP="00B01D89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rFonts w:asciiTheme="minorHAnsi" w:hAnsiTheme="minorHAnsi"/>
          <w:sz w:val="18"/>
          <w:szCs w:val="18"/>
          <w:lang w:val="cs-CZ"/>
        </w:rPr>
      </w:pPr>
      <w:r w:rsidRPr="00127637">
        <w:rPr>
          <w:rFonts w:asciiTheme="minorHAnsi" w:hAnsiTheme="minorHAnsi"/>
          <w:sz w:val="18"/>
          <w:szCs w:val="18"/>
          <w:lang w:val="cs-CZ"/>
        </w:rPr>
        <w:t xml:space="preserve">Podrobnější rozsah práv a povinností souvisejících s vymáháním </w:t>
      </w:r>
      <w:r w:rsidR="009622C5" w:rsidRPr="00127637">
        <w:rPr>
          <w:rFonts w:asciiTheme="minorHAnsi" w:hAnsiTheme="minorHAnsi"/>
          <w:sz w:val="18"/>
          <w:szCs w:val="18"/>
          <w:lang w:val="cs-CZ"/>
        </w:rPr>
        <w:t>a zpětným odkupem Participace</w:t>
      </w:r>
      <w:r w:rsidR="00E20C22" w:rsidRPr="00127637">
        <w:rPr>
          <w:rFonts w:asciiTheme="minorHAnsi" w:hAnsiTheme="minorHAnsi"/>
          <w:sz w:val="18"/>
          <w:szCs w:val="18"/>
          <w:lang w:val="cs-CZ"/>
        </w:rPr>
        <w:t xml:space="preserve"> </w:t>
      </w:r>
      <w:r w:rsidR="00CE60C4" w:rsidRPr="00127637">
        <w:rPr>
          <w:rFonts w:asciiTheme="minorHAnsi" w:hAnsiTheme="minorHAnsi"/>
          <w:sz w:val="18"/>
          <w:szCs w:val="18"/>
          <w:lang w:val="cs-CZ"/>
        </w:rPr>
        <w:t xml:space="preserve">ze strany </w:t>
      </w:r>
      <w:proofErr w:type="spellStart"/>
      <w:r w:rsidR="00CE60C4" w:rsidRPr="00127637">
        <w:rPr>
          <w:rFonts w:asciiTheme="minorHAnsi" w:hAnsiTheme="minorHAnsi"/>
          <w:sz w:val="18"/>
          <w:szCs w:val="18"/>
          <w:lang w:val="cs-CZ"/>
        </w:rPr>
        <w:t>Bankee</w:t>
      </w:r>
      <w:proofErr w:type="spellEnd"/>
      <w:r w:rsidR="00CE60C4" w:rsidRPr="00127637">
        <w:rPr>
          <w:rFonts w:asciiTheme="minorHAnsi" w:hAnsiTheme="minorHAnsi"/>
          <w:sz w:val="18"/>
          <w:szCs w:val="18"/>
          <w:lang w:val="cs-CZ"/>
        </w:rPr>
        <w:t xml:space="preserve"> za účelem následného odkupu Participace třetí osobou </w:t>
      </w:r>
      <w:r w:rsidR="00E20C22" w:rsidRPr="00127637">
        <w:rPr>
          <w:rFonts w:asciiTheme="minorHAnsi" w:hAnsiTheme="minorHAnsi"/>
          <w:sz w:val="18"/>
          <w:szCs w:val="18"/>
          <w:lang w:val="cs-CZ"/>
        </w:rPr>
        <w:t>(resp. jejím</w:t>
      </w:r>
      <w:r w:rsidR="00CE60C4" w:rsidRPr="00127637">
        <w:rPr>
          <w:rFonts w:asciiTheme="minorHAnsi" w:hAnsiTheme="minorHAnsi"/>
          <w:sz w:val="18"/>
          <w:szCs w:val="18"/>
          <w:lang w:val="cs-CZ"/>
        </w:rPr>
        <w:t xml:space="preserve"> postoupením z Investora na </w:t>
      </w:r>
      <w:proofErr w:type="spellStart"/>
      <w:r w:rsidR="00CE60C4" w:rsidRPr="00127637">
        <w:rPr>
          <w:rFonts w:asciiTheme="minorHAnsi" w:hAnsiTheme="minorHAnsi"/>
          <w:sz w:val="18"/>
          <w:szCs w:val="18"/>
          <w:lang w:val="cs-CZ"/>
        </w:rPr>
        <w:t>Bankee</w:t>
      </w:r>
      <w:proofErr w:type="spellEnd"/>
      <w:r w:rsidR="00CE60C4" w:rsidRPr="00127637">
        <w:rPr>
          <w:rFonts w:asciiTheme="minorHAnsi" w:hAnsiTheme="minorHAnsi"/>
          <w:sz w:val="18"/>
          <w:szCs w:val="18"/>
          <w:lang w:val="cs-CZ"/>
        </w:rPr>
        <w:t xml:space="preserve"> a </w:t>
      </w:r>
      <w:proofErr w:type="spellStart"/>
      <w:r w:rsidR="00CE60C4" w:rsidRPr="00127637">
        <w:rPr>
          <w:rFonts w:asciiTheme="minorHAnsi" w:hAnsiTheme="minorHAnsi"/>
          <w:sz w:val="18"/>
          <w:szCs w:val="18"/>
          <w:lang w:val="cs-CZ"/>
        </w:rPr>
        <w:t>následným</w:t>
      </w:r>
      <w:r w:rsidR="00E20C22" w:rsidRPr="00127637">
        <w:rPr>
          <w:rFonts w:asciiTheme="minorHAnsi" w:hAnsiTheme="minorHAnsi"/>
          <w:sz w:val="18"/>
          <w:szCs w:val="18"/>
          <w:lang w:val="cs-CZ"/>
        </w:rPr>
        <w:t>dalším</w:t>
      </w:r>
      <w:proofErr w:type="spellEnd"/>
      <w:r w:rsidR="00E20C22" w:rsidRPr="00127637">
        <w:rPr>
          <w:rFonts w:asciiTheme="minorHAnsi" w:hAnsiTheme="minorHAnsi"/>
          <w:sz w:val="18"/>
          <w:szCs w:val="18"/>
          <w:lang w:val="cs-CZ"/>
        </w:rPr>
        <w:t xml:space="preserve"> postoupením </w:t>
      </w:r>
      <w:r w:rsidR="00CE60C4" w:rsidRPr="00127637">
        <w:rPr>
          <w:rFonts w:asciiTheme="minorHAnsi" w:hAnsiTheme="minorHAnsi"/>
          <w:sz w:val="18"/>
          <w:szCs w:val="18"/>
          <w:lang w:val="cs-CZ"/>
        </w:rPr>
        <w:t xml:space="preserve">ze strany </w:t>
      </w:r>
      <w:proofErr w:type="spellStart"/>
      <w:r w:rsidR="00CE60C4" w:rsidRPr="00127637">
        <w:rPr>
          <w:rFonts w:asciiTheme="minorHAnsi" w:hAnsiTheme="minorHAnsi"/>
          <w:sz w:val="18"/>
          <w:szCs w:val="18"/>
          <w:lang w:val="cs-CZ"/>
        </w:rPr>
        <w:t>Bankee</w:t>
      </w:r>
      <w:proofErr w:type="spellEnd"/>
      <w:r w:rsidR="00CE60C4" w:rsidRPr="00127637">
        <w:rPr>
          <w:rFonts w:asciiTheme="minorHAnsi" w:hAnsiTheme="minorHAnsi"/>
          <w:sz w:val="18"/>
          <w:szCs w:val="18"/>
          <w:lang w:val="cs-CZ"/>
        </w:rPr>
        <w:t xml:space="preserve"> </w:t>
      </w:r>
      <w:r w:rsidR="00E20C22" w:rsidRPr="00127637">
        <w:rPr>
          <w:rFonts w:asciiTheme="minorHAnsi" w:hAnsiTheme="minorHAnsi"/>
          <w:sz w:val="18"/>
          <w:szCs w:val="18"/>
          <w:lang w:val="cs-CZ"/>
        </w:rPr>
        <w:t xml:space="preserve">na třetí osobu určenou </w:t>
      </w:r>
      <w:proofErr w:type="spellStart"/>
      <w:r w:rsidR="00E20C22" w:rsidRPr="00127637">
        <w:rPr>
          <w:rFonts w:asciiTheme="minorHAnsi" w:hAnsiTheme="minorHAnsi"/>
          <w:sz w:val="18"/>
          <w:szCs w:val="18"/>
          <w:lang w:val="cs-CZ"/>
        </w:rPr>
        <w:t>Bankee</w:t>
      </w:r>
      <w:proofErr w:type="spellEnd"/>
      <w:r w:rsidR="00E20C22" w:rsidRPr="00127637">
        <w:rPr>
          <w:rFonts w:asciiTheme="minorHAnsi" w:hAnsiTheme="minorHAnsi"/>
          <w:sz w:val="18"/>
          <w:szCs w:val="18"/>
          <w:lang w:val="cs-CZ"/>
        </w:rPr>
        <w:t>)</w:t>
      </w:r>
      <w:r w:rsidR="009622C5" w:rsidRPr="00127637">
        <w:rPr>
          <w:rFonts w:asciiTheme="minorHAnsi" w:hAnsiTheme="minorHAnsi"/>
          <w:sz w:val="18"/>
          <w:szCs w:val="18"/>
          <w:lang w:val="cs-CZ"/>
        </w:rPr>
        <w:t xml:space="preserve"> </w:t>
      </w:r>
      <w:r w:rsidR="00CE60C4" w:rsidRPr="00127637">
        <w:rPr>
          <w:rFonts w:asciiTheme="minorHAnsi" w:hAnsiTheme="minorHAnsi"/>
          <w:sz w:val="18"/>
          <w:szCs w:val="18"/>
          <w:lang w:val="cs-CZ"/>
        </w:rPr>
        <w:t xml:space="preserve">specializovanou na nákup a vymáhání pohledávek </w:t>
      </w:r>
      <w:r w:rsidRPr="00127637">
        <w:rPr>
          <w:rFonts w:asciiTheme="minorHAnsi" w:hAnsiTheme="minorHAnsi"/>
          <w:sz w:val="18"/>
          <w:szCs w:val="18"/>
          <w:lang w:val="cs-CZ"/>
        </w:rPr>
        <w:t>stanoví Rámcová smlouva.</w:t>
      </w:r>
      <w:r w:rsidR="009622C5" w:rsidRPr="00127637">
        <w:rPr>
          <w:rFonts w:asciiTheme="minorHAnsi" w:hAnsiTheme="minorHAnsi"/>
          <w:sz w:val="18"/>
          <w:szCs w:val="18"/>
          <w:lang w:val="cs-CZ"/>
        </w:rPr>
        <w:t xml:space="preserve"> </w:t>
      </w:r>
      <w:r w:rsidR="00EB037C" w:rsidRPr="00127637">
        <w:rPr>
          <w:rFonts w:asciiTheme="minorHAnsi" w:hAnsiTheme="minorHAnsi"/>
          <w:sz w:val="18"/>
          <w:szCs w:val="18"/>
          <w:lang w:val="cs-CZ"/>
        </w:rPr>
        <w:t xml:space="preserve">Na základě </w:t>
      </w:r>
      <w:r w:rsidR="009622C5" w:rsidRPr="00127637">
        <w:rPr>
          <w:rFonts w:asciiTheme="minorHAnsi" w:hAnsiTheme="minorHAnsi"/>
          <w:sz w:val="18"/>
          <w:szCs w:val="18"/>
          <w:lang w:val="cs-CZ"/>
        </w:rPr>
        <w:t>výzv</w:t>
      </w:r>
      <w:r w:rsidR="00E0522C" w:rsidRPr="00127637">
        <w:rPr>
          <w:rFonts w:asciiTheme="minorHAnsi" w:hAnsiTheme="minorHAnsi"/>
          <w:sz w:val="18"/>
          <w:szCs w:val="18"/>
          <w:lang w:val="cs-CZ"/>
        </w:rPr>
        <w:t>y</w:t>
      </w:r>
      <w:r w:rsidR="009622C5" w:rsidRPr="00127637">
        <w:rPr>
          <w:rFonts w:asciiTheme="minorHAnsi" w:hAnsiTheme="minorHAnsi"/>
          <w:sz w:val="18"/>
          <w:szCs w:val="18"/>
          <w:lang w:val="cs-CZ"/>
        </w:rPr>
        <w:t xml:space="preserve"> </w:t>
      </w:r>
      <w:proofErr w:type="spellStart"/>
      <w:r w:rsidR="00E0522C" w:rsidRPr="00127637">
        <w:rPr>
          <w:rFonts w:asciiTheme="minorHAnsi" w:hAnsiTheme="minorHAnsi"/>
          <w:sz w:val="18"/>
          <w:szCs w:val="18"/>
          <w:lang w:val="cs-CZ"/>
        </w:rPr>
        <w:t>Bankee</w:t>
      </w:r>
      <w:proofErr w:type="spellEnd"/>
      <w:r w:rsidR="00E0522C" w:rsidRPr="00127637">
        <w:rPr>
          <w:rFonts w:asciiTheme="minorHAnsi" w:hAnsiTheme="minorHAnsi"/>
          <w:sz w:val="18"/>
          <w:szCs w:val="18"/>
          <w:lang w:val="cs-CZ"/>
        </w:rPr>
        <w:t xml:space="preserve">, kterou </w:t>
      </w:r>
      <w:proofErr w:type="spellStart"/>
      <w:r w:rsidR="00E0522C" w:rsidRPr="00127637">
        <w:rPr>
          <w:rFonts w:asciiTheme="minorHAnsi" w:hAnsiTheme="minorHAnsi"/>
          <w:sz w:val="18"/>
          <w:szCs w:val="18"/>
          <w:lang w:val="cs-CZ"/>
        </w:rPr>
        <w:t>Bankee</w:t>
      </w:r>
      <w:proofErr w:type="spellEnd"/>
      <w:r w:rsidR="00E0522C" w:rsidRPr="00127637">
        <w:rPr>
          <w:rFonts w:asciiTheme="minorHAnsi" w:hAnsiTheme="minorHAnsi"/>
          <w:sz w:val="18"/>
          <w:szCs w:val="18"/>
          <w:lang w:val="cs-CZ"/>
        </w:rPr>
        <w:t xml:space="preserve"> </w:t>
      </w:r>
      <w:r w:rsidR="00EB037C" w:rsidRPr="00127637">
        <w:rPr>
          <w:rFonts w:asciiTheme="minorHAnsi" w:hAnsiTheme="minorHAnsi"/>
          <w:sz w:val="18"/>
          <w:szCs w:val="18"/>
          <w:lang w:val="cs-CZ"/>
        </w:rPr>
        <w:t>učin</w:t>
      </w:r>
      <w:r w:rsidR="00E0522C" w:rsidRPr="00127637">
        <w:rPr>
          <w:rFonts w:asciiTheme="minorHAnsi" w:hAnsiTheme="minorHAnsi"/>
          <w:sz w:val="18"/>
          <w:szCs w:val="18"/>
          <w:lang w:val="cs-CZ"/>
        </w:rPr>
        <w:t>í</w:t>
      </w:r>
      <w:r w:rsidR="00EB037C" w:rsidRPr="00127637">
        <w:rPr>
          <w:rFonts w:asciiTheme="minorHAnsi" w:hAnsiTheme="minorHAnsi"/>
          <w:sz w:val="18"/>
          <w:szCs w:val="18"/>
          <w:lang w:val="cs-CZ"/>
        </w:rPr>
        <w:t xml:space="preserve"> nejdříve</w:t>
      </w:r>
      <w:r w:rsidR="009622C5" w:rsidRPr="00127637">
        <w:rPr>
          <w:rFonts w:asciiTheme="minorHAnsi" w:hAnsiTheme="minorHAnsi"/>
          <w:sz w:val="18"/>
          <w:szCs w:val="18"/>
          <w:lang w:val="cs-CZ"/>
        </w:rPr>
        <w:t xml:space="preserve"> </w:t>
      </w:r>
      <w:bookmarkStart w:id="9" w:name="_Hlk216261929"/>
      <w:r w:rsidR="009622C5" w:rsidRPr="00127637">
        <w:rPr>
          <w:rFonts w:asciiTheme="minorHAnsi" w:hAnsiTheme="minorHAnsi"/>
          <w:sz w:val="18"/>
          <w:szCs w:val="18"/>
          <w:lang w:val="cs-CZ"/>
        </w:rPr>
        <w:t>po uplynutí 90denní lhůty od vzniku Splatných pohledávek</w:t>
      </w:r>
      <w:r w:rsidR="00EB037C" w:rsidRPr="00127637">
        <w:rPr>
          <w:rFonts w:asciiTheme="minorHAnsi" w:hAnsiTheme="minorHAnsi"/>
          <w:sz w:val="18"/>
          <w:szCs w:val="18"/>
          <w:lang w:val="cs-CZ"/>
        </w:rPr>
        <w:t xml:space="preserve">, dojde </w:t>
      </w:r>
      <w:r w:rsidR="00E0522C" w:rsidRPr="00127637">
        <w:rPr>
          <w:rFonts w:asciiTheme="minorHAnsi" w:hAnsiTheme="minorHAnsi"/>
          <w:sz w:val="18"/>
          <w:szCs w:val="18"/>
          <w:lang w:val="cs-CZ"/>
        </w:rPr>
        <w:t xml:space="preserve">třetím dnem po doručení této výzvy </w:t>
      </w:r>
      <w:r w:rsidR="00EB037C" w:rsidRPr="00127637">
        <w:rPr>
          <w:rFonts w:asciiTheme="minorHAnsi" w:hAnsiTheme="minorHAnsi"/>
          <w:sz w:val="18"/>
          <w:szCs w:val="18"/>
          <w:lang w:val="cs-CZ"/>
        </w:rPr>
        <w:t>k</w:t>
      </w:r>
      <w:r w:rsidR="00E0522C" w:rsidRPr="00127637">
        <w:rPr>
          <w:rFonts w:asciiTheme="minorHAnsi" w:hAnsiTheme="minorHAnsi"/>
          <w:sz w:val="18"/>
          <w:szCs w:val="18"/>
          <w:lang w:val="cs-CZ"/>
        </w:rPr>
        <w:t> </w:t>
      </w:r>
      <w:bookmarkEnd w:id="9"/>
      <w:r w:rsidR="009622C5" w:rsidRPr="00127637">
        <w:rPr>
          <w:rFonts w:asciiTheme="minorHAnsi" w:hAnsiTheme="minorHAnsi"/>
          <w:sz w:val="18"/>
          <w:szCs w:val="18"/>
          <w:lang w:val="cs-CZ"/>
        </w:rPr>
        <w:t>postoup</w:t>
      </w:r>
      <w:r w:rsidR="00EB037C" w:rsidRPr="00127637">
        <w:rPr>
          <w:rFonts w:asciiTheme="minorHAnsi" w:hAnsiTheme="minorHAnsi"/>
          <w:sz w:val="18"/>
          <w:szCs w:val="18"/>
          <w:lang w:val="cs-CZ"/>
        </w:rPr>
        <w:t xml:space="preserve">ení </w:t>
      </w:r>
      <w:r w:rsidR="009622C5" w:rsidRPr="00127637">
        <w:rPr>
          <w:rFonts w:asciiTheme="minorHAnsi" w:hAnsiTheme="minorHAnsi"/>
          <w:sz w:val="18"/>
          <w:szCs w:val="18"/>
          <w:lang w:val="cs-CZ"/>
        </w:rPr>
        <w:t>Participac</w:t>
      </w:r>
      <w:r w:rsidR="00E0522C" w:rsidRPr="00127637">
        <w:rPr>
          <w:rFonts w:asciiTheme="minorHAnsi" w:hAnsiTheme="minorHAnsi"/>
          <w:sz w:val="18"/>
          <w:szCs w:val="18"/>
          <w:lang w:val="cs-CZ"/>
        </w:rPr>
        <w:t xml:space="preserve">e Investora zpět na </w:t>
      </w:r>
      <w:proofErr w:type="spellStart"/>
      <w:r w:rsidR="00E0522C" w:rsidRPr="00127637">
        <w:rPr>
          <w:rFonts w:asciiTheme="minorHAnsi" w:hAnsiTheme="minorHAnsi"/>
          <w:sz w:val="18"/>
          <w:szCs w:val="18"/>
          <w:lang w:val="cs-CZ"/>
        </w:rPr>
        <w:t>Bankee</w:t>
      </w:r>
      <w:proofErr w:type="spellEnd"/>
      <w:r w:rsidR="009622C5" w:rsidRPr="00127637">
        <w:rPr>
          <w:rFonts w:asciiTheme="minorHAnsi" w:hAnsiTheme="minorHAnsi"/>
          <w:sz w:val="18"/>
          <w:szCs w:val="18"/>
          <w:lang w:val="cs-CZ"/>
        </w:rPr>
        <w:t xml:space="preserve">, a to </w:t>
      </w:r>
      <w:bookmarkStart w:id="10" w:name="_Hlk216262071"/>
      <w:r w:rsidR="009622C5" w:rsidRPr="00127637">
        <w:rPr>
          <w:rFonts w:asciiTheme="minorHAnsi" w:hAnsiTheme="minorHAnsi"/>
          <w:sz w:val="18"/>
          <w:szCs w:val="18"/>
          <w:lang w:val="cs-CZ"/>
        </w:rPr>
        <w:t>za úplatu odpovídající 100</w:t>
      </w:r>
      <w:r w:rsidR="00E0522C" w:rsidRPr="00127637">
        <w:rPr>
          <w:rFonts w:asciiTheme="minorHAnsi" w:hAnsiTheme="minorHAnsi"/>
          <w:sz w:val="18"/>
          <w:szCs w:val="18"/>
          <w:lang w:val="cs-CZ"/>
        </w:rPr>
        <w:t> </w:t>
      </w:r>
      <w:r w:rsidR="009622C5" w:rsidRPr="00127637">
        <w:rPr>
          <w:rFonts w:asciiTheme="minorHAnsi" w:hAnsiTheme="minorHAnsi"/>
          <w:sz w:val="18"/>
          <w:szCs w:val="18"/>
          <w:lang w:val="cs-CZ"/>
        </w:rPr>
        <w:t>% nominální hodnotě Splatných pohledávek</w:t>
      </w:r>
      <w:r w:rsidR="003B518C" w:rsidRPr="00127637">
        <w:rPr>
          <w:rFonts w:asciiTheme="minorHAnsi" w:hAnsiTheme="minorHAnsi"/>
          <w:sz w:val="18"/>
          <w:szCs w:val="18"/>
          <w:lang w:val="cs-CZ"/>
        </w:rPr>
        <w:t xml:space="preserve"> </w:t>
      </w:r>
      <w:r w:rsidR="00127637" w:rsidRPr="00127637">
        <w:rPr>
          <w:rFonts w:asciiTheme="minorHAnsi" w:hAnsiTheme="minorHAnsi"/>
          <w:sz w:val="18"/>
          <w:szCs w:val="18"/>
          <w:lang w:val="cs-CZ"/>
        </w:rPr>
        <w:t xml:space="preserve">navýšené o smluvní úrok za toto období </w:t>
      </w:r>
      <w:r w:rsidR="003B518C" w:rsidRPr="00127637">
        <w:rPr>
          <w:rFonts w:asciiTheme="minorHAnsi" w:hAnsiTheme="minorHAnsi"/>
          <w:sz w:val="18"/>
          <w:szCs w:val="18"/>
          <w:lang w:val="cs-CZ"/>
        </w:rPr>
        <w:t>(</w:t>
      </w:r>
      <w:r w:rsidR="00127637" w:rsidRPr="00127637">
        <w:rPr>
          <w:rFonts w:asciiTheme="minorHAnsi" w:hAnsiTheme="minorHAnsi"/>
          <w:sz w:val="18"/>
          <w:szCs w:val="18"/>
          <w:lang w:val="cs-CZ"/>
        </w:rPr>
        <w:t xml:space="preserve">avšak bez </w:t>
      </w:r>
      <w:r w:rsidR="003B518C" w:rsidRPr="00127637">
        <w:rPr>
          <w:rFonts w:asciiTheme="minorHAnsi" w:hAnsiTheme="minorHAnsi"/>
          <w:sz w:val="18"/>
          <w:szCs w:val="18"/>
          <w:lang w:val="cs-CZ"/>
        </w:rPr>
        <w:t>úroků z</w:t>
      </w:r>
      <w:r w:rsidR="00B43D4E" w:rsidRPr="00127637">
        <w:rPr>
          <w:rFonts w:asciiTheme="minorHAnsi" w:hAnsiTheme="minorHAnsi"/>
          <w:sz w:val="18"/>
          <w:szCs w:val="18"/>
          <w:lang w:val="cs-CZ"/>
        </w:rPr>
        <w:t> </w:t>
      </w:r>
      <w:r w:rsidR="003B518C" w:rsidRPr="00127637">
        <w:rPr>
          <w:rFonts w:asciiTheme="minorHAnsi" w:hAnsiTheme="minorHAnsi"/>
          <w:sz w:val="18"/>
          <w:szCs w:val="18"/>
          <w:lang w:val="cs-CZ"/>
        </w:rPr>
        <w:t>prodlení</w:t>
      </w:r>
      <w:r w:rsidR="00B43D4E" w:rsidRPr="00127637">
        <w:rPr>
          <w:rFonts w:asciiTheme="minorHAnsi" w:hAnsiTheme="minorHAnsi"/>
          <w:sz w:val="18"/>
          <w:szCs w:val="18"/>
          <w:lang w:val="cs-CZ"/>
        </w:rPr>
        <w:t>,</w:t>
      </w:r>
      <w:r w:rsidR="003B518C" w:rsidRPr="00127637">
        <w:rPr>
          <w:rFonts w:asciiTheme="minorHAnsi" w:hAnsiTheme="minorHAnsi"/>
          <w:sz w:val="18"/>
          <w:szCs w:val="18"/>
          <w:lang w:val="cs-CZ"/>
        </w:rPr>
        <w:t xml:space="preserve"> smluvních pokut</w:t>
      </w:r>
      <w:r w:rsidR="00B43D4E" w:rsidRPr="00127637">
        <w:rPr>
          <w:rFonts w:asciiTheme="minorHAnsi" w:hAnsiTheme="minorHAnsi"/>
          <w:sz w:val="18"/>
          <w:szCs w:val="18"/>
          <w:lang w:val="cs-CZ"/>
        </w:rPr>
        <w:t xml:space="preserve"> a případného dalšího příslušenství</w:t>
      </w:r>
      <w:r w:rsidR="003B518C" w:rsidRPr="00127637">
        <w:rPr>
          <w:rFonts w:asciiTheme="minorHAnsi" w:hAnsiTheme="minorHAnsi"/>
          <w:sz w:val="18"/>
          <w:szCs w:val="18"/>
          <w:lang w:val="cs-CZ"/>
        </w:rPr>
        <w:t>)</w:t>
      </w:r>
      <w:r w:rsidR="009622C5" w:rsidRPr="00127637">
        <w:rPr>
          <w:rFonts w:asciiTheme="minorHAnsi" w:hAnsiTheme="minorHAnsi"/>
          <w:sz w:val="18"/>
          <w:szCs w:val="18"/>
          <w:lang w:val="cs-CZ"/>
        </w:rPr>
        <w:t xml:space="preserve">. </w:t>
      </w:r>
      <w:bookmarkEnd w:id="10"/>
      <w:r w:rsidR="00164B28" w:rsidRPr="00127637">
        <w:rPr>
          <w:rFonts w:asciiTheme="minorHAnsi" w:hAnsiTheme="minorHAnsi"/>
          <w:sz w:val="18"/>
          <w:szCs w:val="18"/>
          <w:lang w:val="cs-CZ"/>
        </w:rPr>
        <w:t>Investor se na výzvu</w:t>
      </w:r>
      <w:r w:rsidR="00164B28" w:rsidRPr="00164B28">
        <w:rPr>
          <w:rFonts w:asciiTheme="minorHAnsi" w:hAnsiTheme="minorHAnsi"/>
          <w:sz w:val="18"/>
          <w:szCs w:val="18"/>
          <w:lang w:val="cs-CZ"/>
        </w:rPr>
        <w:t xml:space="preserve"> </w:t>
      </w:r>
      <w:proofErr w:type="spellStart"/>
      <w:r w:rsidR="00164B28" w:rsidRPr="00164B28">
        <w:rPr>
          <w:rFonts w:asciiTheme="minorHAnsi" w:hAnsiTheme="minorHAnsi"/>
          <w:sz w:val="18"/>
          <w:szCs w:val="18"/>
          <w:lang w:val="cs-CZ"/>
        </w:rPr>
        <w:t>Bankee</w:t>
      </w:r>
      <w:proofErr w:type="spellEnd"/>
      <w:r w:rsidR="00164B28" w:rsidRPr="00164B28">
        <w:rPr>
          <w:rFonts w:asciiTheme="minorHAnsi" w:hAnsiTheme="minorHAnsi"/>
          <w:sz w:val="18"/>
          <w:szCs w:val="18"/>
          <w:lang w:val="cs-CZ"/>
        </w:rPr>
        <w:t xml:space="preserve"> zavazuje </w:t>
      </w:r>
      <w:r w:rsidR="00164B28">
        <w:rPr>
          <w:rFonts w:asciiTheme="minorHAnsi" w:hAnsiTheme="minorHAnsi"/>
          <w:sz w:val="18"/>
          <w:szCs w:val="18"/>
          <w:lang w:val="cs-CZ"/>
        </w:rPr>
        <w:t xml:space="preserve">bez zbytečného odkladu, nejpozději však do 10 dnů od doručení výzvy, </w:t>
      </w:r>
      <w:r w:rsidR="00164B28" w:rsidRPr="00164B28">
        <w:rPr>
          <w:rFonts w:asciiTheme="minorHAnsi" w:hAnsiTheme="minorHAnsi"/>
          <w:sz w:val="18"/>
          <w:szCs w:val="18"/>
          <w:lang w:val="cs-CZ"/>
        </w:rPr>
        <w:t>poskytnout</w:t>
      </w:r>
      <w:r w:rsidR="00164B28">
        <w:rPr>
          <w:rFonts w:asciiTheme="minorHAnsi" w:hAnsiTheme="minorHAnsi"/>
          <w:sz w:val="18"/>
          <w:szCs w:val="18"/>
          <w:lang w:val="cs-CZ"/>
        </w:rPr>
        <w:t xml:space="preserve"> </w:t>
      </w:r>
      <w:proofErr w:type="spellStart"/>
      <w:r w:rsidR="00164B28">
        <w:rPr>
          <w:rFonts w:asciiTheme="minorHAnsi" w:hAnsiTheme="minorHAnsi"/>
          <w:sz w:val="18"/>
          <w:szCs w:val="18"/>
          <w:lang w:val="cs-CZ"/>
        </w:rPr>
        <w:t>Bankee</w:t>
      </w:r>
      <w:proofErr w:type="spellEnd"/>
      <w:r w:rsidR="00164B28" w:rsidRPr="00164B28">
        <w:rPr>
          <w:rFonts w:asciiTheme="minorHAnsi" w:hAnsiTheme="minorHAnsi"/>
          <w:sz w:val="18"/>
          <w:szCs w:val="18"/>
          <w:lang w:val="cs-CZ"/>
        </w:rPr>
        <w:t xml:space="preserve"> veškerou nezbytnou součinnost ke zpětnému odkupu Participace, včetně podepsání všech potřebných dokumentů</w:t>
      </w:r>
      <w:r w:rsidR="00164B28">
        <w:rPr>
          <w:rFonts w:asciiTheme="minorHAnsi" w:hAnsiTheme="minorHAnsi"/>
          <w:sz w:val="18"/>
          <w:szCs w:val="18"/>
          <w:lang w:val="cs-CZ"/>
        </w:rPr>
        <w:t xml:space="preserve">. </w:t>
      </w:r>
      <w:r w:rsidR="006E77D1" w:rsidRPr="00164B28">
        <w:rPr>
          <w:rFonts w:asciiTheme="minorHAnsi" w:hAnsiTheme="minorHAnsi"/>
          <w:sz w:val="18"/>
          <w:szCs w:val="18"/>
          <w:lang w:val="cs-CZ"/>
        </w:rPr>
        <w:t xml:space="preserve">Pokyn ke Správě Participací je Investor oprávněn jednostranně odvolat, avšak výhradně v případě, že ze strany </w:t>
      </w:r>
      <w:proofErr w:type="spellStart"/>
      <w:r w:rsidR="006E77D1" w:rsidRPr="00164B28">
        <w:rPr>
          <w:rFonts w:asciiTheme="minorHAnsi" w:hAnsiTheme="minorHAnsi"/>
          <w:sz w:val="18"/>
          <w:szCs w:val="18"/>
          <w:lang w:val="cs-CZ"/>
        </w:rPr>
        <w:t>Bankee</w:t>
      </w:r>
      <w:proofErr w:type="spellEnd"/>
      <w:r w:rsidR="006E77D1" w:rsidRPr="00164B28">
        <w:rPr>
          <w:rFonts w:asciiTheme="minorHAnsi" w:hAnsiTheme="minorHAnsi"/>
          <w:sz w:val="18"/>
          <w:szCs w:val="18"/>
          <w:lang w:val="cs-CZ"/>
        </w:rPr>
        <w:t xml:space="preserve"> dojde k opakovanému a zvlášť závažnému porušení povinností vyplývajících z těchto Obchodních podmínek a/nebo Rámcové smlouvy a ani přes písemnou výzvu nedojde ve lhůtě </w:t>
      </w:r>
      <w:r w:rsidR="00FB39A6" w:rsidRPr="00164B28">
        <w:rPr>
          <w:rFonts w:asciiTheme="minorHAnsi" w:hAnsiTheme="minorHAnsi"/>
          <w:sz w:val="18"/>
          <w:szCs w:val="18"/>
          <w:lang w:val="cs-CZ"/>
        </w:rPr>
        <w:t>minimálně</w:t>
      </w:r>
      <w:r w:rsidR="006E77D1" w:rsidRPr="00164B28">
        <w:rPr>
          <w:rFonts w:asciiTheme="minorHAnsi" w:hAnsiTheme="minorHAnsi"/>
          <w:sz w:val="18"/>
          <w:szCs w:val="18"/>
          <w:lang w:val="cs-CZ"/>
        </w:rPr>
        <w:t xml:space="preserve"> 30 dnů od doručení této výzvy k nápravě. </w:t>
      </w:r>
    </w:p>
    <w:p w14:paraId="0791307A" w14:textId="77777777" w:rsidR="00CD1ACC" w:rsidRPr="00CD1ACC" w:rsidRDefault="00CD1ACC" w:rsidP="00CD1ACC">
      <w:pPr>
        <w:spacing w:before="0" w:after="0"/>
        <w:rPr>
          <w:sz w:val="18"/>
          <w:szCs w:val="18"/>
        </w:rPr>
      </w:pPr>
    </w:p>
    <w:p w14:paraId="04D6D326" w14:textId="6EC7A24B" w:rsidR="004F6189" w:rsidRPr="00017378" w:rsidRDefault="0081253C" w:rsidP="00CD1ACC">
      <w:pPr>
        <w:pStyle w:val="Nadpis1"/>
        <w:tabs>
          <w:tab w:val="clear" w:pos="709"/>
          <w:tab w:val="num" w:pos="426"/>
        </w:tabs>
        <w:spacing w:before="0" w:after="0"/>
        <w:ind w:left="426" w:hanging="426"/>
        <w:rPr>
          <w:szCs w:val="18"/>
          <w:lang w:val="cs-CZ"/>
        </w:rPr>
      </w:pPr>
      <w:bookmarkStart w:id="11" w:name="_Ref214009541"/>
      <w:r w:rsidRPr="00CD1ACC">
        <w:rPr>
          <w:bCs/>
          <w:szCs w:val="18"/>
          <w:lang w:val="cs-CZ"/>
        </w:rPr>
        <w:t>PLATBY</w:t>
      </w:r>
      <w:r w:rsidR="00CD1ACC">
        <w:rPr>
          <w:bCs/>
          <w:szCs w:val="18"/>
          <w:lang w:val="cs-CZ"/>
        </w:rPr>
        <w:t xml:space="preserve"> plnění z participací</w:t>
      </w:r>
      <w:bookmarkEnd w:id="11"/>
    </w:p>
    <w:p w14:paraId="406F15A6" w14:textId="77B59E6F" w:rsidR="004F6189" w:rsidRDefault="00CD1ACC" w:rsidP="00CD1ACC">
      <w:pPr>
        <w:pStyle w:val="Nadpis2"/>
        <w:tabs>
          <w:tab w:val="clear" w:pos="709"/>
          <w:tab w:val="num" w:pos="426"/>
        </w:tabs>
        <w:spacing w:before="0"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Veškerá Plnění v souvislosti s Participacemi budou činěna Úvěrovaným (případně třetími osobami, které plní za Úvěrovaného)</w:t>
      </w:r>
      <w:r w:rsidR="006E7EE5">
        <w:rPr>
          <w:sz w:val="18"/>
          <w:szCs w:val="18"/>
          <w:lang w:val="cs-CZ"/>
        </w:rPr>
        <w:t xml:space="preserve"> výhradně přímo na bankovní účty </w:t>
      </w:r>
      <w:proofErr w:type="spellStart"/>
      <w:r w:rsidR="006E7EE5">
        <w:rPr>
          <w:sz w:val="18"/>
          <w:szCs w:val="18"/>
          <w:lang w:val="cs-CZ"/>
        </w:rPr>
        <w:t>Bankee</w:t>
      </w:r>
      <w:proofErr w:type="spellEnd"/>
      <w:r w:rsidR="006E7EE5">
        <w:rPr>
          <w:sz w:val="18"/>
          <w:szCs w:val="18"/>
          <w:lang w:val="cs-CZ"/>
        </w:rPr>
        <w:t>. Investor bere na vědomí, že Participace mu neumožňuje nárokovat přímé plnění od Úvěrujícího, vyjma případů výslovně uvedených v Rámcové smlouvě.</w:t>
      </w:r>
    </w:p>
    <w:p w14:paraId="4E588A00" w14:textId="7037DB08" w:rsidR="006E7EE5" w:rsidRDefault="0019710D" w:rsidP="0019710D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přijatá Plnění nejpozdě</w:t>
      </w:r>
      <w:r w:rsidRPr="00127637">
        <w:rPr>
          <w:sz w:val="18"/>
          <w:szCs w:val="18"/>
          <w:lang w:val="cs-CZ"/>
        </w:rPr>
        <w:t xml:space="preserve">ji do </w:t>
      </w:r>
      <w:r w:rsidR="009B3756" w:rsidRPr="00127637">
        <w:rPr>
          <w:sz w:val="18"/>
          <w:szCs w:val="18"/>
          <w:lang w:val="cs-CZ"/>
        </w:rPr>
        <w:t>1</w:t>
      </w:r>
      <w:r w:rsidRPr="00127637">
        <w:rPr>
          <w:sz w:val="18"/>
          <w:szCs w:val="18"/>
          <w:lang w:val="cs-CZ"/>
        </w:rPr>
        <w:t>0 dnů</w:t>
      </w:r>
      <w:r>
        <w:rPr>
          <w:sz w:val="18"/>
          <w:szCs w:val="18"/>
          <w:lang w:val="cs-CZ"/>
        </w:rPr>
        <w:t xml:space="preserve"> od data </w:t>
      </w:r>
      <w:r w:rsidR="009B3756">
        <w:rPr>
          <w:sz w:val="18"/>
          <w:szCs w:val="18"/>
          <w:lang w:val="cs-CZ"/>
        </w:rPr>
        <w:t xml:space="preserve">jejich </w:t>
      </w:r>
      <w:r>
        <w:rPr>
          <w:sz w:val="18"/>
          <w:szCs w:val="18"/>
          <w:lang w:val="cs-CZ"/>
        </w:rPr>
        <w:t>připsání</w:t>
      </w:r>
      <w:r w:rsidR="009B3756">
        <w:rPr>
          <w:sz w:val="18"/>
          <w:szCs w:val="18"/>
          <w:lang w:val="cs-CZ"/>
        </w:rPr>
        <w:t xml:space="preserve"> na účet </w:t>
      </w:r>
      <w:proofErr w:type="spellStart"/>
      <w:r w:rsidR="009B3756">
        <w:rPr>
          <w:sz w:val="18"/>
          <w:szCs w:val="18"/>
          <w:lang w:val="cs-CZ"/>
        </w:rPr>
        <w:t>Bankee</w:t>
      </w:r>
      <w:proofErr w:type="spellEnd"/>
      <w:r w:rsidR="009B3756">
        <w:rPr>
          <w:sz w:val="18"/>
          <w:szCs w:val="18"/>
          <w:lang w:val="cs-CZ"/>
        </w:rPr>
        <w:t xml:space="preserve"> poměrně rozdělí mezi Investory (v poměru jejich Participace vůči celkové výši Úvěru) a v tomto </w:t>
      </w:r>
      <w:r w:rsidR="00FB39A6">
        <w:rPr>
          <w:sz w:val="18"/>
          <w:szCs w:val="18"/>
          <w:lang w:val="cs-CZ"/>
        </w:rPr>
        <w:t>rozsahu</w:t>
      </w:r>
      <w:r w:rsidR="009B3756">
        <w:rPr>
          <w:sz w:val="18"/>
          <w:szCs w:val="18"/>
          <w:lang w:val="cs-CZ"/>
        </w:rPr>
        <w:t xml:space="preserve"> je zašle na jejich bankovní účty.</w:t>
      </w:r>
    </w:p>
    <w:p w14:paraId="791E59B4" w14:textId="6934B334" w:rsidR="009B3756" w:rsidRDefault="000E536B" w:rsidP="009B3756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je oprávněna ponížit platby Plnění o veškeré náklady, poplatky či jiná protiplnění, na které ji dle těchto </w:t>
      </w:r>
      <w:r w:rsidR="00C86E06">
        <w:rPr>
          <w:sz w:val="18"/>
          <w:szCs w:val="18"/>
          <w:lang w:val="cs-CZ"/>
        </w:rPr>
        <w:t>O</w:t>
      </w:r>
      <w:r>
        <w:rPr>
          <w:sz w:val="18"/>
          <w:szCs w:val="18"/>
          <w:lang w:val="cs-CZ"/>
        </w:rPr>
        <w:t xml:space="preserve">bchodních podmínek, </w:t>
      </w:r>
      <w:r w:rsidR="00C86E06">
        <w:rPr>
          <w:sz w:val="18"/>
          <w:szCs w:val="18"/>
          <w:lang w:val="cs-CZ"/>
        </w:rPr>
        <w:t>S</w:t>
      </w:r>
      <w:r>
        <w:rPr>
          <w:sz w:val="18"/>
          <w:szCs w:val="18"/>
          <w:lang w:val="cs-CZ"/>
        </w:rPr>
        <w:t xml:space="preserve">azebníku poplatků či Rámcové smlouvy vznikne nárok.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je tedy oprávněna jednostranně započíst jakékoli své pohledávky (včetně nesplatných, podmíněných či sporných) </w:t>
      </w:r>
      <w:r>
        <w:rPr>
          <w:sz w:val="18"/>
          <w:szCs w:val="18"/>
          <w:lang w:val="cs-CZ"/>
        </w:rPr>
        <w:lastRenderedPageBreak/>
        <w:t>vůči pohledávce Investorů na výplatu poměrné části Plnění.</w:t>
      </w:r>
      <w:r w:rsidR="00BA70F6">
        <w:rPr>
          <w:sz w:val="18"/>
          <w:szCs w:val="18"/>
          <w:lang w:val="cs-CZ"/>
        </w:rPr>
        <w:t xml:space="preserve"> </w:t>
      </w:r>
      <w:proofErr w:type="spellStart"/>
      <w:r w:rsidR="00BA70F6">
        <w:rPr>
          <w:sz w:val="18"/>
          <w:szCs w:val="18"/>
          <w:lang w:val="cs-CZ"/>
        </w:rPr>
        <w:t>Bankee</w:t>
      </w:r>
      <w:proofErr w:type="spellEnd"/>
      <w:r w:rsidR="00BA70F6">
        <w:rPr>
          <w:sz w:val="18"/>
          <w:szCs w:val="18"/>
          <w:lang w:val="cs-CZ"/>
        </w:rPr>
        <w:t xml:space="preserve"> je oprávněna</w:t>
      </w:r>
      <w:r w:rsidR="00BA70F6" w:rsidRPr="00BA70F6">
        <w:rPr>
          <w:sz w:val="18"/>
          <w:szCs w:val="18"/>
          <w:lang w:val="cs-CZ"/>
        </w:rPr>
        <w:t xml:space="preserve"> podle vlastního uvážení jednostranně upustit od poplatků</w:t>
      </w:r>
      <w:r w:rsidR="00BA70F6">
        <w:rPr>
          <w:sz w:val="18"/>
          <w:szCs w:val="18"/>
          <w:lang w:val="cs-CZ"/>
        </w:rPr>
        <w:t xml:space="preserve"> hrazeným </w:t>
      </w:r>
      <w:proofErr w:type="spellStart"/>
      <w:r w:rsidR="00BA70F6">
        <w:rPr>
          <w:sz w:val="18"/>
          <w:szCs w:val="18"/>
          <w:lang w:val="cs-CZ"/>
        </w:rPr>
        <w:t>Bankee</w:t>
      </w:r>
      <w:proofErr w:type="spellEnd"/>
      <w:r w:rsidR="00FB39A6">
        <w:rPr>
          <w:sz w:val="18"/>
          <w:szCs w:val="18"/>
          <w:lang w:val="cs-CZ"/>
        </w:rPr>
        <w:t xml:space="preserve"> </w:t>
      </w:r>
      <w:r w:rsidR="00BA70F6" w:rsidRPr="00BA70F6">
        <w:rPr>
          <w:sz w:val="18"/>
          <w:szCs w:val="18"/>
          <w:lang w:val="cs-CZ"/>
        </w:rPr>
        <w:t>nebo jednostranně snížit výši příslušných poplatků.</w:t>
      </w:r>
    </w:p>
    <w:p w14:paraId="418E7E17" w14:textId="090A0DC3" w:rsidR="008323FC" w:rsidRPr="008323FC" w:rsidRDefault="008323FC" w:rsidP="008323FC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 w:rsidRPr="00FB39A6">
        <w:rPr>
          <w:sz w:val="18"/>
          <w:szCs w:val="18"/>
          <w:lang w:val="cs-CZ"/>
        </w:rPr>
        <w:t xml:space="preserve">Platba Plnění bude prováděna bez srážky daní </w:t>
      </w:r>
      <w:r>
        <w:rPr>
          <w:sz w:val="18"/>
          <w:szCs w:val="18"/>
          <w:lang w:val="cs-CZ"/>
        </w:rPr>
        <w:t xml:space="preserve">nebo </w:t>
      </w:r>
      <w:r w:rsidRPr="00FB39A6">
        <w:rPr>
          <w:sz w:val="18"/>
          <w:szCs w:val="18"/>
          <w:lang w:val="cs-CZ"/>
        </w:rPr>
        <w:t>poplatků jakéhokoli druhu, pokud taková srážka není vyžadována příslušnými právními předpisy České republiky účinnými ke dni provedení platby.</w:t>
      </w:r>
      <w:r>
        <w:rPr>
          <w:sz w:val="18"/>
          <w:szCs w:val="18"/>
          <w:lang w:val="cs-CZ"/>
        </w:rPr>
        <w:t xml:space="preserve"> </w:t>
      </w:r>
      <w:r w:rsidRPr="008323FC">
        <w:rPr>
          <w:sz w:val="18"/>
          <w:szCs w:val="18"/>
          <w:lang w:val="cs-CZ"/>
        </w:rPr>
        <w:t>Investor je povinen sám odvést daň ze získaného Plnění v souladu s platnými právními předpisy České republiky.</w:t>
      </w:r>
      <w:r>
        <w:rPr>
          <w:sz w:val="18"/>
          <w:szCs w:val="18"/>
          <w:lang w:val="cs-CZ"/>
        </w:rPr>
        <w:t xml:space="preserve"> </w:t>
      </w:r>
    </w:p>
    <w:p w14:paraId="55D927A7" w14:textId="77777777" w:rsidR="000E536B" w:rsidRPr="00FB39A6" w:rsidRDefault="000E536B" w:rsidP="000E536B">
      <w:pPr>
        <w:spacing w:before="0" w:after="0"/>
        <w:rPr>
          <w:sz w:val="18"/>
          <w:szCs w:val="18"/>
        </w:rPr>
      </w:pPr>
    </w:p>
    <w:p w14:paraId="2DFDD29B" w14:textId="3506CC40" w:rsidR="004F6189" w:rsidRPr="00151D57" w:rsidRDefault="000C6D42" w:rsidP="000E536B">
      <w:pPr>
        <w:pStyle w:val="Nadpis1"/>
        <w:tabs>
          <w:tab w:val="clear" w:pos="709"/>
          <w:tab w:val="num" w:pos="426"/>
        </w:tabs>
        <w:spacing w:before="0" w:after="0"/>
        <w:ind w:left="426" w:hanging="426"/>
        <w:rPr>
          <w:szCs w:val="18"/>
          <w:lang w:val="cs-CZ"/>
        </w:rPr>
      </w:pPr>
      <w:r w:rsidRPr="000E536B">
        <w:rPr>
          <w:bCs/>
          <w:szCs w:val="18"/>
          <w:lang w:val="cs-CZ"/>
        </w:rPr>
        <w:t>ZAJIŠTĚNÍ</w:t>
      </w:r>
    </w:p>
    <w:p w14:paraId="7D8547AA" w14:textId="205FD071" w:rsidR="008C4CBB" w:rsidRPr="00151D57" w:rsidRDefault="00487964" w:rsidP="000E536B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Úvěry nabízené na Platformě k Participacím jsou vždy zajištěny, zpravidla zástavním právem k nemovitým věcem a/nebo ručitelským prohlášením třetí osoby.</w:t>
      </w:r>
    </w:p>
    <w:p w14:paraId="7D1B5045" w14:textId="18313975" w:rsidR="00487964" w:rsidRDefault="00487964" w:rsidP="00487964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bookmarkStart w:id="12" w:name="_Ref481671822"/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na základě Rámcové smlouvy a dalších relevantních dokumentů (Úvěrová smlouva, případně zástavní smlouva) plní funkci Agenta pro Zajištění</w:t>
      </w:r>
      <w:r w:rsidR="005D0FA0">
        <w:rPr>
          <w:sz w:val="18"/>
          <w:szCs w:val="18"/>
          <w:lang w:val="cs-CZ"/>
        </w:rPr>
        <w:t xml:space="preserve"> ve vztahu a v rozsahu všech Participací</w:t>
      </w:r>
      <w:r>
        <w:rPr>
          <w:sz w:val="18"/>
          <w:szCs w:val="18"/>
          <w:lang w:val="cs-CZ"/>
        </w:rPr>
        <w:t xml:space="preserve">. To znamená, že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</w:t>
      </w:r>
      <w:bookmarkEnd w:id="12"/>
      <w:r>
        <w:rPr>
          <w:sz w:val="18"/>
          <w:szCs w:val="18"/>
          <w:lang w:val="cs-CZ"/>
        </w:rPr>
        <w:t xml:space="preserve">vlastním jménem a na účet Investorů </w:t>
      </w:r>
      <w:r w:rsidR="0078208F">
        <w:rPr>
          <w:sz w:val="18"/>
          <w:szCs w:val="18"/>
          <w:lang w:val="cs-CZ"/>
        </w:rPr>
        <w:t xml:space="preserve">rozhoduje o přistoupení k realizaci Zajištění, způsobu jejího výkonu a veškerých souvisejících krocích. Agent pro </w:t>
      </w:r>
      <w:r w:rsidR="004C4F4C">
        <w:rPr>
          <w:sz w:val="18"/>
          <w:szCs w:val="18"/>
          <w:lang w:val="cs-CZ"/>
        </w:rPr>
        <w:t xml:space="preserve">Zajištění </w:t>
      </w:r>
      <w:r w:rsidR="0078208F">
        <w:rPr>
          <w:sz w:val="18"/>
          <w:szCs w:val="18"/>
          <w:lang w:val="cs-CZ"/>
        </w:rPr>
        <w:t>tak vykonává veškerá práva Investorů vyplývající z Participací.</w:t>
      </w:r>
    </w:p>
    <w:p w14:paraId="1F5B7208" w14:textId="77777777" w:rsidR="008A4056" w:rsidRDefault="0078208F" w:rsidP="0078208F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 w:rsidRPr="0078208F">
        <w:rPr>
          <w:sz w:val="18"/>
          <w:szCs w:val="18"/>
          <w:lang w:val="cs-CZ"/>
        </w:rPr>
        <w:t>Ag</w:t>
      </w:r>
      <w:r>
        <w:rPr>
          <w:sz w:val="18"/>
          <w:szCs w:val="18"/>
          <w:lang w:val="cs-CZ"/>
        </w:rPr>
        <w:t>ent pro Zajištění činí s odbornou péčí veškeré kroky k efektivnímu zpeněžení Zajištění a maximalizaci výtěžku z něj, a to s přihlédnutím k oprávněným zájmům Investorů.</w:t>
      </w:r>
    </w:p>
    <w:p w14:paraId="268B479D" w14:textId="7CB8196B" w:rsidR="008A4056" w:rsidRDefault="008A4056" w:rsidP="0078208F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V rámci své </w:t>
      </w:r>
      <w:r w:rsidR="0078208F">
        <w:rPr>
          <w:sz w:val="18"/>
          <w:szCs w:val="18"/>
          <w:lang w:val="cs-CZ"/>
        </w:rPr>
        <w:t xml:space="preserve">činnost Agenta pro Zajištění </w:t>
      </w:r>
      <w:r>
        <w:rPr>
          <w:sz w:val="18"/>
          <w:szCs w:val="18"/>
          <w:lang w:val="cs-CZ"/>
        </w:rPr>
        <w:t xml:space="preserve">je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oprávněna:</w:t>
      </w:r>
    </w:p>
    <w:p w14:paraId="711550E2" w14:textId="4D1B5AF7" w:rsidR="008A4056" w:rsidRDefault="008A4056" w:rsidP="008A4056">
      <w:pPr>
        <w:pStyle w:val="Nadpis2"/>
        <w:numPr>
          <w:ilvl w:val="0"/>
          <w:numId w:val="10"/>
        </w:numPr>
        <w:ind w:left="851" w:hanging="425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kontrolovat plnění Úvěrové smlouvy ze strany Úvěrovaného v rozsahu souvisejícím se Zajištěním;</w:t>
      </w:r>
    </w:p>
    <w:p w14:paraId="0BE28C2C" w14:textId="3E7A2F41" w:rsidR="008A4056" w:rsidRDefault="008A4056" w:rsidP="008A4056">
      <w:pPr>
        <w:pStyle w:val="Nadpis2"/>
        <w:numPr>
          <w:ilvl w:val="0"/>
          <w:numId w:val="10"/>
        </w:numPr>
        <w:ind w:left="851" w:hanging="425"/>
        <w:rPr>
          <w:sz w:val="18"/>
          <w:szCs w:val="18"/>
          <w:lang w:val="cs-CZ"/>
        </w:rPr>
      </w:pPr>
      <w:r w:rsidRPr="00FB39A6">
        <w:rPr>
          <w:sz w:val="18"/>
          <w:szCs w:val="18"/>
          <w:lang w:val="cs-CZ"/>
        </w:rPr>
        <w:t>uplatňovat ve prospěch Investorů veškerá práva spojená se Zajištěním</w:t>
      </w:r>
      <w:r>
        <w:rPr>
          <w:sz w:val="18"/>
          <w:szCs w:val="18"/>
          <w:lang w:val="cs-CZ"/>
        </w:rPr>
        <w:t>;</w:t>
      </w:r>
    </w:p>
    <w:p w14:paraId="7B24C9E0" w14:textId="6E8CB979" w:rsidR="008A4056" w:rsidRPr="008A4056" w:rsidRDefault="008A4056" w:rsidP="008A4056">
      <w:pPr>
        <w:pStyle w:val="Nadpis2"/>
        <w:numPr>
          <w:ilvl w:val="0"/>
          <w:numId w:val="10"/>
        </w:numPr>
        <w:ind w:left="851" w:hanging="425"/>
        <w:rPr>
          <w:sz w:val="18"/>
          <w:szCs w:val="18"/>
          <w:lang w:val="cs-CZ"/>
        </w:rPr>
      </w:pPr>
      <w:r w:rsidRPr="00FB39A6">
        <w:rPr>
          <w:sz w:val="18"/>
          <w:szCs w:val="18"/>
          <w:lang w:val="cs-CZ"/>
        </w:rPr>
        <w:t>činit ve prospěch Investorů v souvislosti se Zajištěním další právní i faktické jednání za účelem ochrany jejich zájmů</w:t>
      </w:r>
      <w:r>
        <w:rPr>
          <w:sz w:val="18"/>
          <w:szCs w:val="18"/>
          <w:lang w:val="cs-CZ"/>
        </w:rPr>
        <w:t>.</w:t>
      </w:r>
    </w:p>
    <w:p w14:paraId="5536A850" w14:textId="6CC4CB7D" w:rsidR="008A4056" w:rsidRPr="008A4056" w:rsidRDefault="008A4056" w:rsidP="008A4056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 w:rsidRPr="00FB39A6">
        <w:rPr>
          <w:sz w:val="18"/>
          <w:szCs w:val="18"/>
          <w:lang w:val="cs-CZ"/>
        </w:rPr>
        <w:t xml:space="preserve">Investor opravňuje Agenta pro </w:t>
      </w:r>
      <w:r w:rsidR="004C4F4C">
        <w:rPr>
          <w:sz w:val="18"/>
          <w:szCs w:val="18"/>
          <w:lang w:val="cs-CZ"/>
        </w:rPr>
        <w:t>Z</w:t>
      </w:r>
      <w:r w:rsidRPr="00FB39A6">
        <w:rPr>
          <w:sz w:val="18"/>
          <w:szCs w:val="18"/>
          <w:lang w:val="cs-CZ"/>
        </w:rPr>
        <w:t xml:space="preserve">ajištění </w:t>
      </w:r>
      <w:r>
        <w:rPr>
          <w:sz w:val="18"/>
          <w:szCs w:val="18"/>
          <w:lang w:val="cs-CZ"/>
        </w:rPr>
        <w:t xml:space="preserve">k </w:t>
      </w:r>
      <w:r w:rsidRPr="00FB39A6">
        <w:rPr>
          <w:sz w:val="18"/>
          <w:szCs w:val="18"/>
          <w:lang w:val="cs-CZ"/>
        </w:rPr>
        <w:t>výměně nebo doplnění majetku</w:t>
      </w:r>
      <w:r>
        <w:rPr>
          <w:sz w:val="18"/>
          <w:szCs w:val="18"/>
          <w:lang w:val="cs-CZ"/>
        </w:rPr>
        <w:t xml:space="preserve"> tvořícího </w:t>
      </w:r>
      <w:r w:rsidRPr="00FB39A6">
        <w:rPr>
          <w:sz w:val="18"/>
          <w:szCs w:val="18"/>
          <w:lang w:val="cs-CZ"/>
        </w:rPr>
        <w:t xml:space="preserve">předmět Zajištění, </w:t>
      </w:r>
      <w:r w:rsidR="003829A7">
        <w:rPr>
          <w:sz w:val="18"/>
          <w:szCs w:val="18"/>
          <w:lang w:val="cs-CZ"/>
        </w:rPr>
        <w:t xml:space="preserve">ke </w:t>
      </w:r>
      <w:r w:rsidRPr="00FB39A6">
        <w:rPr>
          <w:sz w:val="18"/>
          <w:szCs w:val="18"/>
          <w:lang w:val="cs-CZ"/>
        </w:rPr>
        <w:t>změně Zajištění nebo poskytnutí dalšího Zajištění</w:t>
      </w:r>
      <w:r w:rsidR="003829A7">
        <w:rPr>
          <w:sz w:val="18"/>
          <w:szCs w:val="18"/>
          <w:lang w:val="cs-CZ"/>
        </w:rPr>
        <w:t xml:space="preserve">, a to </w:t>
      </w:r>
      <w:r w:rsidRPr="00FB39A6">
        <w:rPr>
          <w:sz w:val="18"/>
          <w:szCs w:val="18"/>
          <w:lang w:val="cs-CZ"/>
        </w:rPr>
        <w:t xml:space="preserve">i bez svolání schůze vlastníků, pokud </w:t>
      </w:r>
      <w:r w:rsidR="003829A7">
        <w:rPr>
          <w:sz w:val="18"/>
          <w:szCs w:val="18"/>
          <w:lang w:val="cs-CZ"/>
        </w:rPr>
        <w:t>je takový</w:t>
      </w:r>
      <w:r>
        <w:rPr>
          <w:sz w:val="18"/>
          <w:szCs w:val="18"/>
          <w:lang w:val="cs-CZ"/>
        </w:rPr>
        <w:t xml:space="preserve"> </w:t>
      </w:r>
      <w:r w:rsidR="003829A7">
        <w:rPr>
          <w:sz w:val="18"/>
          <w:szCs w:val="18"/>
          <w:lang w:val="cs-CZ"/>
        </w:rPr>
        <w:t>postup</w:t>
      </w:r>
      <w:r>
        <w:rPr>
          <w:sz w:val="18"/>
          <w:szCs w:val="18"/>
          <w:lang w:val="cs-CZ"/>
        </w:rPr>
        <w:t xml:space="preserve"> vhodn</w:t>
      </w:r>
      <w:r w:rsidR="003829A7">
        <w:rPr>
          <w:sz w:val="18"/>
          <w:szCs w:val="18"/>
          <w:lang w:val="cs-CZ"/>
        </w:rPr>
        <w:t>ý</w:t>
      </w:r>
      <w:r>
        <w:rPr>
          <w:sz w:val="18"/>
          <w:szCs w:val="18"/>
          <w:lang w:val="cs-CZ"/>
        </w:rPr>
        <w:t xml:space="preserve"> </w:t>
      </w:r>
      <w:r w:rsidRPr="00FB39A6">
        <w:rPr>
          <w:sz w:val="18"/>
          <w:szCs w:val="18"/>
          <w:lang w:val="cs-CZ"/>
        </w:rPr>
        <w:t>k zefektivnění či usnadnění případného výkonu Zajištění a nedojde tím ke</w:t>
      </w:r>
      <w:r w:rsidR="003829A7">
        <w:rPr>
          <w:sz w:val="18"/>
          <w:szCs w:val="18"/>
          <w:lang w:val="cs-CZ"/>
        </w:rPr>
        <w:t> </w:t>
      </w:r>
      <w:r w:rsidRPr="00FB39A6">
        <w:rPr>
          <w:sz w:val="18"/>
          <w:szCs w:val="18"/>
          <w:lang w:val="cs-CZ"/>
        </w:rPr>
        <w:t>snížení hodnoty Zajištění.</w:t>
      </w:r>
    </w:p>
    <w:p w14:paraId="554E24C7" w14:textId="2D23EB1F" w:rsidR="002C4BA8" w:rsidRDefault="008A4056" w:rsidP="0078208F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V</w:t>
      </w:r>
      <w:r w:rsidR="002C4BA8">
        <w:rPr>
          <w:sz w:val="18"/>
          <w:szCs w:val="18"/>
          <w:lang w:val="cs-CZ"/>
        </w:rPr>
        <w:t xml:space="preserve">eškeré pokyny jsou Agentovi pro </w:t>
      </w:r>
      <w:r w:rsidR="004C4F4C">
        <w:rPr>
          <w:sz w:val="18"/>
          <w:szCs w:val="18"/>
          <w:lang w:val="cs-CZ"/>
        </w:rPr>
        <w:t>Z</w:t>
      </w:r>
      <w:r w:rsidR="002C4BA8">
        <w:rPr>
          <w:sz w:val="18"/>
          <w:szCs w:val="18"/>
          <w:lang w:val="cs-CZ"/>
        </w:rPr>
        <w:t>ajištění uděleny Rámcovou smlouvou, a to ve vztahu a v rozsahu všech Zajištění.</w:t>
      </w:r>
      <w:r w:rsidR="0078208F">
        <w:rPr>
          <w:sz w:val="18"/>
          <w:szCs w:val="18"/>
          <w:lang w:val="cs-CZ"/>
        </w:rPr>
        <w:t xml:space="preserve"> </w:t>
      </w:r>
      <w:r w:rsidR="002C4BA8">
        <w:rPr>
          <w:sz w:val="18"/>
          <w:szCs w:val="18"/>
          <w:lang w:val="cs-CZ"/>
        </w:rPr>
        <w:t xml:space="preserve">V této souvislosti Investor není oprávněn svolat schůzi vlastníků za účelem udělení pokynů Agentovi </w:t>
      </w:r>
      <w:r w:rsidR="004C4F4C">
        <w:rPr>
          <w:sz w:val="18"/>
          <w:szCs w:val="18"/>
          <w:lang w:val="cs-CZ"/>
        </w:rPr>
        <w:t xml:space="preserve">pro </w:t>
      </w:r>
      <w:r w:rsidR="002C4BA8">
        <w:rPr>
          <w:sz w:val="18"/>
          <w:szCs w:val="18"/>
          <w:lang w:val="cs-CZ"/>
        </w:rPr>
        <w:t>Zajištění. Investor se dále zavazuje nesvolávat schůzi vlastníků z jiného důvod</w:t>
      </w:r>
      <w:r w:rsidR="00026B13">
        <w:rPr>
          <w:sz w:val="18"/>
          <w:szCs w:val="18"/>
          <w:lang w:val="cs-CZ"/>
        </w:rPr>
        <w:t>u</w:t>
      </w:r>
      <w:r w:rsidR="00026B13" w:rsidRPr="00026B1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="00026B13" w:rsidRPr="00026B13">
        <w:rPr>
          <w:sz w:val="18"/>
          <w:szCs w:val="18"/>
          <w:lang w:val="cs-CZ"/>
        </w:rPr>
        <w:t xml:space="preserve">než za účelem změny Agenta pro </w:t>
      </w:r>
      <w:r w:rsidR="004C4F4C">
        <w:rPr>
          <w:sz w:val="18"/>
          <w:szCs w:val="18"/>
          <w:lang w:val="cs-CZ"/>
        </w:rPr>
        <w:t>Z</w:t>
      </w:r>
      <w:r w:rsidR="00026B13" w:rsidRPr="00026B13">
        <w:rPr>
          <w:sz w:val="18"/>
          <w:szCs w:val="18"/>
          <w:lang w:val="cs-CZ"/>
        </w:rPr>
        <w:t>ajištění v případě, že dojde k</w:t>
      </w:r>
      <w:r w:rsidR="0009647E">
        <w:rPr>
          <w:sz w:val="18"/>
          <w:szCs w:val="18"/>
          <w:lang w:val="cs-CZ"/>
        </w:rPr>
        <w:t> </w:t>
      </w:r>
      <w:r w:rsidR="00026B13" w:rsidRPr="00026B13">
        <w:rPr>
          <w:sz w:val="18"/>
          <w:szCs w:val="18"/>
          <w:lang w:val="cs-CZ"/>
        </w:rPr>
        <w:t xml:space="preserve">ukončení činnosti </w:t>
      </w:r>
      <w:proofErr w:type="spellStart"/>
      <w:r w:rsidR="00026B13">
        <w:rPr>
          <w:sz w:val="18"/>
          <w:szCs w:val="18"/>
          <w:lang w:val="cs-CZ"/>
        </w:rPr>
        <w:t>Bankee</w:t>
      </w:r>
      <w:proofErr w:type="spellEnd"/>
      <w:r w:rsidR="00026B13" w:rsidRPr="00026B13">
        <w:rPr>
          <w:sz w:val="18"/>
          <w:szCs w:val="18"/>
          <w:lang w:val="cs-CZ"/>
        </w:rPr>
        <w:t>.</w:t>
      </w:r>
    </w:p>
    <w:p w14:paraId="73697C69" w14:textId="77777777" w:rsidR="00FB39A6" w:rsidRPr="00FB39A6" w:rsidRDefault="0078208F" w:rsidP="00FB39A6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 w:rsidRPr="00FB39A6">
        <w:rPr>
          <w:sz w:val="18"/>
          <w:szCs w:val="18"/>
          <w:lang w:val="cs-CZ"/>
        </w:rPr>
        <w:t xml:space="preserve">Investor </w:t>
      </w:r>
      <w:r w:rsidR="002C4BA8" w:rsidRPr="00FB39A6">
        <w:rPr>
          <w:sz w:val="18"/>
          <w:szCs w:val="18"/>
          <w:lang w:val="cs-CZ"/>
        </w:rPr>
        <w:t>je</w:t>
      </w:r>
      <w:r w:rsidRPr="00FB39A6">
        <w:rPr>
          <w:sz w:val="18"/>
          <w:szCs w:val="18"/>
          <w:lang w:val="cs-CZ"/>
        </w:rPr>
        <w:t xml:space="preserve"> povinen poskytnout </w:t>
      </w:r>
      <w:r w:rsidR="002C4BA8" w:rsidRPr="00FB39A6">
        <w:rPr>
          <w:sz w:val="18"/>
          <w:szCs w:val="18"/>
          <w:lang w:val="cs-CZ"/>
        </w:rPr>
        <w:t xml:space="preserve">Agentovi pro </w:t>
      </w:r>
      <w:r w:rsidR="004C4F4C" w:rsidRPr="00FB39A6">
        <w:rPr>
          <w:sz w:val="18"/>
          <w:szCs w:val="18"/>
          <w:lang w:val="cs-CZ"/>
        </w:rPr>
        <w:t>Z</w:t>
      </w:r>
      <w:r w:rsidR="002C4BA8" w:rsidRPr="00FB39A6">
        <w:rPr>
          <w:sz w:val="18"/>
          <w:szCs w:val="18"/>
          <w:lang w:val="cs-CZ"/>
        </w:rPr>
        <w:t>ajištění</w:t>
      </w:r>
      <w:r w:rsidRPr="00FB39A6">
        <w:rPr>
          <w:sz w:val="18"/>
          <w:szCs w:val="18"/>
          <w:lang w:val="cs-CZ"/>
        </w:rPr>
        <w:t xml:space="preserve"> případnou součinnost</w:t>
      </w:r>
      <w:r w:rsidR="002C4BA8" w:rsidRPr="00FB39A6">
        <w:rPr>
          <w:sz w:val="18"/>
          <w:szCs w:val="18"/>
          <w:lang w:val="cs-CZ"/>
        </w:rPr>
        <w:t>, kterou lze po něm rozumně požadovat, k výkonu jeho činnosti</w:t>
      </w:r>
      <w:r w:rsidRPr="00FB39A6">
        <w:rPr>
          <w:sz w:val="18"/>
          <w:szCs w:val="18"/>
          <w:lang w:val="cs-CZ"/>
        </w:rPr>
        <w:t>.</w:t>
      </w:r>
    </w:p>
    <w:p w14:paraId="4E969613" w14:textId="7649F381" w:rsidR="0078208F" w:rsidRPr="005028D5" w:rsidRDefault="0078208F" w:rsidP="0078208F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 w:rsidRPr="0078208F">
        <w:rPr>
          <w:sz w:val="18"/>
          <w:szCs w:val="18"/>
          <w:lang w:val="cs-CZ"/>
        </w:rPr>
        <w:t>Agentu pro Zajištění nál</w:t>
      </w:r>
      <w:r w:rsidRPr="007A51DD">
        <w:rPr>
          <w:sz w:val="18"/>
          <w:szCs w:val="18"/>
          <w:lang w:val="cs-CZ"/>
        </w:rPr>
        <w:t>eží za výkon jeho činnosti odměna dle platného</w:t>
      </w:r>
      <w:r w:rsidRPr="0078208F">
        <w:rPr>
          <w:sz w:val="18"/>
          <w:szCs w:val="18"/>
          <w:lang w:val="cs-CZ"/>
        </w:rPr>
        <w:t xml:space="preserve"> </w:t>
      </w:r>
      <w:r w:rsidR="00A34CDC">
        <w:rPr>
          <w:sz w:val="18"/>
          <w:szCs w:val="18"/>
          <w:lang w:val="cs-CZ"/>
        </w:rPr>
        <w:t>S</w:t>
      </w:r>
      <w:r w:rsidRPr="0078208F">
        <w:rPr>
          <w:sz w:val="18"/>
          <w:szCs w:val="18"/>
          <w:lang w:val="cs-CZ"/>
        </w:rPr>
        <w:t xml:space="preserve">azebníku </w:t>
      </w:r>
      <w:r w:rsidR="00A34CDC">
        <w:rPr>
          <w:sz w:val="18"/>
          <w:szCs w:val="18"/>
          <w:lang w:val="cs-CZ"/>
        </w:rPr>
        <w:t>poplatků</w:t>
      </w:r>
      <w:r w:rsidRPr="0078208F">
        <w:rPr>
          <w:sz w:val="18"/>
          <w:szCs w:val="18"/>
          <w:lang w:val="cs-CZ"/>
        </w:rPr>
        <w:t xml:space="preserve">. Výtěžek ze Zajištění bude vždy ponížen o tuto odměnu a až následně distribuován mezi Investory v souladu s čl. </w:t>
      </w:r>
      <w:r w:rsidR="003020A1">
        <w:rPr>
          <w:sz w:val="18"/>
          <w:szCs w:val="18"/>
          <w:lang w:val="cs-CZ"/>
        </w:rPr>
        <w:fldChar w:fldCharType="begin"/>
      </w:r>
      <w:r w:rsidR="003020A1">
        <w:rPr>
          <w:sz w:val="18"/>
          <w:szCs w:val="18"/>
          <w:lang w:val="cs-CZ"/>
        </w:rPr>
        <w:instrText xml:space="preserve"> REF _Ref214009541 \r \h </w:instrText>
      </w:r>
      <w:r w:rsidR="003020A1">
        <w:rPr>
          <w:sz w:val="18"/>
          <w:szCs w:val="18"/>
          <w:lang w:val="cs-CZ"/>
        </w:rPr>
      </w:r>
      <w:r w:rsidR="003020A1">
        <w:rPr>
          <w:sz w:val="18"/>
          <w:szCs w:val="18"/>
          <w:lang w:val="cs-CZ"/>
        </w:rPr>
        <w:fldChar w:fldCharType="separate"/>
      </w:r>
      <w:r w:rsidR="003745F2">
        <w:rPr>
          <w:sz w:val="18"/>
          <w:szCs w:val="18"/>
          <w:lang w:val="cs-CZ"/>
        </w:rPr>
        <w:t>6</w:t>
      </w:r>
      <w:r w:rsidR="003020A1">
        <w:rPr>
          <w:sz w:val="18"/>
          <w:szCs w:val="18"/>
          <w:lang w:val="cs-CZ"/>
        </w:rPr>
        <w:fldChar w:fldCharType="end"/>
      </w:r>
      <w:r w:rsidRPr="0078208F">
        <w:rPr>
          <w:sz w:val="18"/>
          <w:szCs w:val="18"/>
          <w:lang w:val="cs-CZ"/>
        </w:rPr>
        <w:t xml:space="preserve"> těchto Obchodních podmínek.</w:t>
      </w:r>
      <w:r>
        <w:rPr>
          <w:sz w:val="18"/>
          <w:szCs w:val="18"/>
          <w:lang w:val="cs-CZ"/>
        </w:rPr>
        <w:t xml:space="preserve"> Případn</w:t>
      </w:r>
      <w:r w:rsidR="00FB39A6">
        <w:rPr>
          <w:sz w:val="18"/>
          <w:szCs w:val="18"/>
          <w:lang w:val="cs-CZ"/>
        </w:rPr>
        <w:t>ý přebytek (</w:t>
      </w:r>
      <w:r>
        <w:rPr>
          <w:sz w:val="18"/>
          <w:szCs w:val="18"/>
          <w:lang w:val="cs-CZ"/>
        </w:rPr>
        <w:t>hyperocha</w:t>
      </w:r>
      <w:r w:rsidRPr="005028D5">
        <w:rPr>
          <w:sz w:val="18"/>
          <w:szCs w:val="18"/>
          <w:lang w:val="cs-CZ"/>
        </w:rPr>
        <w:t>) bude vrácen Úvěrovanému.</w:t>
      </w:r>
    </w:p>
    <w:p w14:paraId="2DC24308" w14:textId="77777777" w:rsidR="0078208F" w:rsidRPr="005028D5" w:rsidRDefault="0078208F" w:rsidP="0078208F">
      <w:pPr>
        <w:spacing w:before="0" w:after="0"/>
        <w:rPr>
          <w:sz w:val="18"/>
          <w:szCs w:val="18"/>
        </w:rPr>
      </w:pPr>
    </w:p>
    <w:p w14:paraId="2668AA4C" w14:textId="27F6F116" w:rsidR="000C6D42" w:rsidRPr="005028D5" w:rsidRDefault="000C6D42" w:rsidP="0078208F">
      <w:pPr>
        <w:pStyle w:val="Nadpis1"/>
        <w:tabs>
          <w:tab w:val="clear" w:pos="709"/>
          <w:tab w:val="num" w:pos="426"/>
        </w:tabs>
        <w:spacing w:before="0" w:after="0"/>
        <w:ind w:left="426" w:hanging="426"/>
        <w:rPr>
          <w:szCs w:val="18"/>
          <w:lang w:val="cs-CZ"/>
        </w:rPr>
      </w:pPr>
      <w:r w:rsidRPr="005028D5">
        <w:rPr>
          <w:szCs w:val="18"/>
          <w:lang w:val="cs-CZ"/>
        </w:rPr>
        <w:t>ODPOVĚDNOST</w:t>
      </w:r>
      <w:r w:rsidR="00C9394E">
        <w:rPr>
          <w:szCs w:val="18"/>
          <w:lang w:val="cs-CZ"/>
        </w:rPr>
        <w:t xml:space="preserve"> A PŘÍPADY PORUŠENÍ</w:t>
      </w:r>
    </w:p>
    <w:p w14:paraId="1859F7E2" w14:textId="1267D648" w:rsidR="000C6D42" w:rsidRDefault="007360C1" w:rsidP="007360C1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proofErr w:type="spellStart"/>
      <w:r w:rsidRPr="007360C1">
        <w:rPr>
          <w:sz w:val="18"/>
          <w:szCs w:val="18"/>
          <w:lang w:val="cs-CZ"/>
        </w:rPr>
        <w:t>Bankee</w:t>
      </w:r>
      <w:proofErr w:type="spellEnd"/>
      <w:r w:rsidRPr="007360C1">
        <w:rPr>
          <w:sz w:val="18"/>
          <w:szCs w:val="18"/>
          <w:lang w:val="cs-CZ"/>
        </w:rPr>
        <w:t xml:space="preserve"> odpovídá Investorům za škodu výhradně v případech, kdy je způsobena v důsledku hrubé nedbalosti či úmyslu.</w:t>
      </w:r>
      <w:r>
        <w:rPr>
          <w:sz w:val="18"/>
          <w:szCs w:val="18"/>
          <w:lang w:val="cs-CZ"/>
        </w:rPr>
        <w:t xml:space="preserve"> </w:t>
      </w:r>
      <w:r>
        <w:rPr>
          <w:sz w:val="18"/>
          <w:szCs w:val="18"/>
          <w:lang w:val="cs-CZ"/>
        </w:rPr>
        <w:t>Odpovědnost za škodu se neuplatní zejména v případech,</w:t>
      </w:r>
      <w:r w:rsidR="00FB39A6">
        <w:rPr>
          <w:sz w:val="18"/>
          <w:szCs w:val="18"/>
          <w:lang w:val="cs-CZ"/>
        </w:rPr>
        <w:t xml:space="preserve"> kdy</w:t>
      </w:r>
      <w:r>
        <w:rPr>
          <w:sz w:val="18"/>
          <w:szCs w:val="18"/>
          <w:lang w:val="cs-CZ"/>
        </w:rPr>
        <w:t xml:space="preserve"> je škoda způsobena prostou nedbalostí nebo za existence okolností vylučujících odpovědnost dle § 2913, odst. 2 Občanského zákoníku. Náhrada ušlého zisku je vyloučena.</w:t>
      </w:r>
    </w:p>
    <w:p w14:paraId="0E5D0A62" w14:textId="309C53D7" w:rsidR="005028D5" w:rsidRDefault="007360C1" w:rsidP="007360C1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není odpovědná za škodu</w:t>
      </w:r>
      <w:r w:rsidR="005028D5">
        <w:rPr>
          <w:sz w:val="18"/>
          <w:szCs w:val="18"/>
          <w:lang w:val="cs-CZ"/>
        </w:rPr>
        <w:t xml:space="preserve"> či jinou újmu v rozsahu, v němž nebyla předvídatelná (včetně tzv. následné škody), </w:t>
      </w:r>
      <w:r w:rsidR="00FB39A6">
        <w:rPr>
          <w:sz w:val="18"/>
          <w:szCs w:val="18"/>
          <w:lang w:val="cs-CZ"/>
        </w:rPr>
        <w:t xml:space="preserve">ani </w:t>
      </w:r>
      <w:r w:rsidR="005028D5">
        <w:rPr>
          <w:sz w:val="18"/>
          <w:szCs w:val="18"/>
          <w:lang w:val="cs-CZ"/>
        </w:rPr>
        <w:t>za škodu vzniklou zejména, nikoli však výlučně</w:t>
      </w:r>
      <w:r w:rsidR="00FB39A6">
        <w:rPr>
          <w:sz w:val="18"/>
          <w:szCs w:val="18"/>
          <w:lang w:val="cs-CZ"/>
        </w:rPr>
        <w:t>,</w:t>
      </w:r>
      <w:r w:rsidR="005028D5">
        <w:rPr>
          <w:sz w:val="18"/>
          <w:szCs w:val="18"/>
          <w:lang w:val="cs-CZ"/>
        </w:rPr>
        <w:t xml:space="preserve"> v důsledku nefunkčnosti Platformy, vyšší moci, jednání či opomenutí třetích osob (vč. Úvěrovaného), neprovedení Objednávky a</w:t>
      </w:r>
      <w:r w:rsidR="00FB39A6">
        <w:rPr>
          <w:sz w:val="18"/>
          <w:szCs w:val="18"/>
          <w:lang w:val="cs-CZ"/>
        </w:rPr>
        <w:t>tp</w:t>
      </w:r>
      <w:r w:rsidR="005028D5">
        <w:rPr>
          <w:sz w:val="18"/>
          <w:szCs w:val="18"/>
          <w:lang w:val="cs-CZ"/>
        </w:rPr>
        <w:t>.</w:t>
      </w:r>
    </w:p>
    <w:p w14:paraId="70B5C31B" w14:textId="02D64791" w:rsidR="007360C1" w:rsidRDefault="005028D5" w:rsidP="007360C1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Jakékoli dokumenty, informace či prohlášení poskytnuté Úvěrovaným či dalšími třetími osobami (např. zástavcem ve vztahu k Zajištění) nezakládají odpovědnost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.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nezaručuje jejich správnost, úplnost či pravdivost a při žádosti o Úvěr provádí omezenou interní prověrku (tzv. „</w:t>
      </w:r>
      <w:proofErr w:type="spellStart"/>
      <w:r>
        <w:rPr>
          <w:sz w:val="18"/>
          <w:szCs w:val="18"/>
          <w:lang w:val="cs-CZ"/>
        </w:rPr>
        <w:t>due</w:t>
      </w:r>
      <w:proofErr w:type="spellEnd"/>
      <w:r>
        <w:rPr>
          <w:sz w:val="18"/>
          <w:szCs w:val="18"/>
          <w:lang w:val="cs-CZ"/>
        </w:rPr>
        <w:t xml:space="preserve"> diligence“) v běžném tržním standardu.</w:t>
      </w:r>
    </w:p>
    <w:p w14:paraId="4FF1C541" w14:textId="1E3CAC2F" w:rsidR="00C9394E" w:rsidRDefault="00C9394E" w:rsidP="00C9394E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bookmarkStart w:id="13" w:name="_Ref214009447"/>
      <w:r w:rsidRPr="00C9394E">
        <w:rPr>
          <w:sz w:val="18"/>
          <w:szCs w:val="18"/>
          <w:lang w:val="cs-CZ"/>
        </w:rPr>
        <w:t>Případem porušení je zejména, nikoli však výlučně</w:t>
      </w:r>
      <w:r>
        <w:rPr>
          <w:sz w:val="18"/>
          <w:szCs w:val="18"/>
          <w:lang w:val="cs-CZ"/>
        </w:rPr>
        <w:t>:</w:t>
      </w:r>
      <w:bookmarkEnd w:id="13"/>
    </w:p>
    <w:p w14:paraId="3D96B415" w14:textId="0BF86AA3" w:rsidR="00C9394E" w:rsidRDefault="00C9394E" w:rsidP="00FB39A6">
      <w:pPr>
        <w:pStyle w:val="Nadpis2"/>
        <w:numPr>
          <w:ilvl w:val="0"/>
          <w:numId w:val="30"/>
        </w:numPr>
        <w:ind w:left="851" w:hanging="425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jakékoli porušení povinností Investora vyplývajících z Rámcové smlouvy, těchto Obchodních podmínek, </w:t>
      </w:r>
      <w:r w:rsidR="00C86E06">
        <w:rPr>
          <w:sz w:val="18"/>
          <w:szCs w:val="18"/>
          <w:lang w:val="cs-CZ"/>
        </w:rPr>
        <w:t xml:space="preserve">Sazebníku </w:t>
      </w:r>
      <w:r>
        <w:rPr>
          <w:sz w:val="18"/>
          <w:szCs w:val="18"/>
          <w:lang w:val="cs-CZ"/>
        </w:rPr>
        <w:t>poplatků či právních předpisů;</w:t>
      </w:r>
    </w:p>
    <w:p w14:paraId="4C2480DC" w14:textId="2B159F25" w:rsidR="00C9394E" w:rsidRDefault="00C9394E" w:rsidP="00FB39A6">
      <w:pPr>
        <w:pStyle w:val="Nadpis2"/>
        <w:numPr>
          <w:ilvl w:val="0"/>
          <w:numId w:val="30"/>
        </w:numPr>
        <w:ind w:left="851" w:hanging="425"/>
        <w:rPr>
          <w:sz w:val="18"/>
          <w:szCs w:val="18"/>
          <w:lang w:val="cs-CZ"/>
        </w:rPr>
      </w:pPr>
      <w:r w:rsidRPr="00C9394E">
        <w:rPr>
          <w:sz w:val="18"/>
          <w:szCs w:val="18"/>
          <w:lang w:val="cs-CZ"/>
        </w:rPr>
        <w:t xml:space="preserve">neposkytnutí </w:t>
      </w:r>
      <w:r>
        <w:rPr>
          <w:sz w:val="18"/>
          <w:szCs w:val="18"/>
          <w:lang w:val="cs-CZ"/>
        </w:rPr>
        <w:t xml:space="preserve">dostatečné a včasné součinnosti Investorem v souvislosti </w:t>
      </w:r>
      <w:r w:rsidR="00FB39A6">
        <w:rPr>
          <w:sz w:val="18"/>
          <w:szCs w:val="18"/>
          <w:lang w:val="cs-CZ"/>
        </w:rPr>
        <w:t xml:space="preserve">s </w:t>
      </w:r>
      <w:r>
        <w:rPr>
          <w:sz w:val="18"/>
          <w:szCs w:val="18"/>
          <w:lang w:val="cs-CZ"/>
        </w:rPr>
        <w:t xml:space="preserve">povinnostmi dle právních předpisů </w:t>
      </w:r>
      <w:r w:rsidR="00EB07AA">
        <w:rPr>
          <w:sz w:val="18"/>
          <w:szCs w:val="18"/>
          <w:lang w:val="cs-CZ"/>
        </w:rPr>
        <w:t>upravujících opatření proti legalizaci výnosů z trestné činnosti a financování terorismu (AML);</w:t>
      </w:r>
    </w:p>
    <w:p w14:paraId="75C0D851" w14:textId="4D168CC4" w:rsidR="00EB07AA" w:rsidRDefault="00EB07AA" w:rsidP="00FB39A6">
      <w:pPr>
        <w:pStyle w:val="Nadpis2"/>
        <w:numPr>
          <w:ilvl w:val="0"/>
          <w:numId w:val="30"/>
        </w:numPr>
        <w:ind w:left="851" w:hanging="425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uvedení nepravdivých, neúplných či hrubě zkreslujících informací v rámci komunikace s Investorem či smluvní dokumentace;</w:t>
      </w:r>
    </w:p>
    <w:p w14:paraId="5BDA3076" w14:textId="3068F0FC" w:rsidR="00EB07AA" w:rsidRDefault="00EB07AA" w:rsidP="00FB39A6">
      <w:pPr>
        <w:pStyle w:val="Nadpis2"/>
        <w:numPr>
          <w:ilvl w:val="0"/>
          <w:numId w:val="30"/>
        </w:numPr>
        <w:ind w:left="851" w:hanging="425"/>
        <w:rPr>
          <w:sz w:val="18"/>
          <w:szCs w:val="18"/>
          <w:lang w:val="cs-CZ"/>
        </w:rPr>
      </w:pPr>
      <w:r w:rsidRPr="00EB07AA">
        <w:rPr>
          <w:sz w:val="18"/>
          <w:szCs w:val="18"/>
          <w:lang w:val="cs-CZ"/>
        </w:rPr>
        <w:t>zahájení exekučního či insolvenčního řízení vůči Investorovi</w:t>
      </w:r>
      <w:r>
        <w:rPr>
          <w:sz w:val="18"/>
          <w:szCs w:val="18"/>
          <w:lang w:val="cs-CZ"/>
        </w:rPr>
        <w:t>;</w:t>
      </w:r>
    </w:p>
    <w:p w14:paraId="0B9A9E0E" w14:textId="75BA6EDE" w:rsidR="00EB07AA" w:rsidRDefault="00EB07AA" w:rsidP="00FB39A6">
      <w:pPr>
        <w:pStyle w:val="Nadpis2"/>
        <w:numPr>
          <w:ilvl w:val="0"/>
          <w:numId w:val="30"/>
        </w:numPr>
        <w:ind w:left="851" w:hanging="425"/>
        <w:rPr>
          <w:sz w:val="18"/>
          <w:szCs w:val="18"/>
          <w:lang w:val="cs-CZ"/>
        </w:rPr>
      </w:pPr>
      <w:r w:rsidRPr="00EB07AA">
        <w:rPr>
          <w:sz w:val="18"/>
          <w:szCs w:val="18"/>
          <w:lang w:val="cs-CZ"/>
        </w:rPr>
        <w:t xml:space="preserve">jakékoli právní či faktické jednání, které je způsobilé ztížit či zmařit výkon práv </w:t>
      </w:r>
      <w:proofErr w:type="spellStart"/>
      <w:r w:rsidRPr="00EB07AA">
        <w:rPr>
          <w:sz w:val="18"/>
          <w:szCs w:val="18"/>
          <w:lang w:val="cs-CZ"/>
        </w:rPr>
        <w:t>Bankee</w:t>
      </w:r>
      <w:proofErr w:type="spellEnd"/>
      <w:r w:rsidRPr="00EB07AA">
        <w:rPr>
          <w:sz w:val="18"/>
          <w:szCs w:val="18"/>
          <w:lang w:val="cs-CZ"/>
        </w:rPr>
        <w:t xml:space="preserve"> v souvislosti s Úvěrem a/nebo Zajištěním</w:t>
      </w:r>
      <w:r>
        <w:rPr>
          <w:sz w:val="18"/>
          <w:szCs w:val="18"/>
          <w:lang w:val="cs-CZ"/>
        </w:rPr>
        <w:t xml:space="preserve">, a to včetně přímého kontaktování Úvěrovaného bez předchozího souhlasu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 w:rsidRPr="00EB07AA">
        <w:rPr>
          <w:sz w:val="18"/>
          <w:szCs w:val="18"/>
          <w:lang w:val="cs-CZ"/>
        </w:rPr>
        <w:t>.</w:t>
      </w:r>
    </w:p>
    <w:p w14:paraId="61E54E85" w14:textId="494D7804" w:rsidR="00777EF6" w:rsidRPr="00777EF6" w:rsidRDefault="00777EF6" w:rsidP="00FB39A6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 w:rsidRPr="00777EF6">
        <w:rPr>
          <w:sz w:val="18"/>
          <w:szCs w:val="18"/>
          <w:lang w:val="cs-CZ"/>
        </w:rPr>
        <w:t xml:space="preserve">Pokud nastane případ porušení je </w:t>
      </w:r>
      <w:proofErr w:type="spellStart"/>
      <w:r w:rsidRPr="00777EF6">
        <w:rPr>
          <w:sz w:val="18"/>
          <w:szCs w:val="18"/>
          <w:lang w:val="cs-CZ"/>
        </w:rPr>
        <w:t>Bankee</w:t>
      </w:r>
      <w:proofErr w:type="spellEnd"/>
      <w:r w:rsidRPr="00777EF6">
        <w:rPr>
          <w:sz w:val="18"/>
          <w:szCs w:val="18"/>
          <w:lang w:val="cs-CZ"/>
        </w:rPr>
        <w:t xml:space="preserve"> oprávněna na základě svého výhradního uvážení omezit či zcela zastavit </w:t>
      </w:r>
      <w:r>
        <w:rPr>
          <w:sz w:val="18"/>
          <w:szCs w:val="18"/>
          <w:lang w:val="cs-CZ"/>
        </w:rPr>
        <w:t>Správu Participací či možnost nabývání nových participací, požadovat náhradu vzniklé škody (vč. ušlého zisku), vypovědět Rámcovou smlouvu</w:t>
      </w:r>
      <w:r w:rsidR="00FB39A6">
        <w:rPr>
          <w:sz w:val="18"/>
          <w:szCs w:val="18"/>
          <w:lang w:val="cs-CZ"/>
        </w:rPr>
        <w:t xml:space="preserve"> s okamžitou účinností</w:t>
      </w:r>
      <w:r>
        <w:rPr>
          <w:sz w:val="18"/>
          <w:szCs w:val="18"/>
          <w:lang w:val="cs-CZ"/>
        </w:rPr>
        <w:t xml:space="preserve"> a/nebo uložit Investorovi dodatečnou lhůtu k nápravě případu porušení.</w:t>
      </w:r>
    </w:p>
    <w:p w14:paraId="5BF2106C" w14:textId="77777777" w:rsidR="0078208F" w:rsidRPr="0078208F" w:rsidRDefault="0078208F" w:rsidP="0078208F">
      <w:pPr>
        <w:spacing w:before="0" w:after="0"/>
        <w:rPr>
          <w:sz w:val="18"/>
          <w:szCs w:val="18"/>
          <w:highlight w:val="yellow"/>
        </w:rPr>
      </w:pPr>
    </w:p>
    <w:p w14:paraId="41E5B685" w14:textId="2F33AB9B" w:rsidR="00260612" w:rsidRPr="002C1314" w:rsidRDefault="00260612" w:rsidP="0078208F">
      <w:pPr>
        <w:pStyle w:val="Nadpis1"/>
        <w:tabs>
          <w:tab w:val="clear" w:pos="709"/>
          <w:tab w:val="num" w:pos="426"/>
        </w:tabs>
        <w:spacing w:before="0" w:after="0"/>
        <w:ind w:left="426" w:hanging="426"/>
        <w:rPr>
          <w:szCs w:val="18"/>
          <w:lang w:val="cs-CZ"/>
        </w:rPr>
      </w:pPr>
      <w:r w:rsidRPr="00737A6B">
        <w:rPr>
          <w:szCs w:val="18"/>
          <w:lang w:val="cs-CZ"/>
        </w:rPr>
        <w:t>UPOZORNĚNÍ</w:t>
      </w:r>
      <w:r w:rsidRPr="002C1314">
        <w:rPr>
          <w:szCs w:val="18"/>
          <w:lang w:val="cs-CZ"/>
        </w:rPr>
        <w:t xml:space="preserve"> INVESTORŮ NA VYBRANÁ RIZIKA</w:t>
      </w:r>
    </w:p>
    <w:p w14:paraId="2497E1F6" w14:textId="761EED04" w:rsidR="00260612" w:rsidRDefault="002C1314" w:rsidP="002C1314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 w:rsidRPr="002C1314">
        <w:rPr>
          <w:sz w:val="18"/>
          <w:szCs w:val="18"/>
          <w:lang w:val="cs-CZ"/>
        </w:rPr>
        <w:t>S</w:t>
      </w:r>
      <w:r>
        <w:rPr>
          <w:sz w:val="18"/>
          <w:szCs w:val="18"/>
          <w:lang w:val="cs-CZ"/>
        </w:rPr>
        <w:t> </w:t>
      </w:r>
      <w:r w:rsidRPr="002C1314">
        <w:rPr>
          <w:sz w:val="18"/>
          <w:szCs w:val="18"/>
          <w:lang w:val="cs-CZ"/>
        </w:rPr>
        <w:t>nabytím</w:t>
      </w:r>
      <w:r>
        <w:rPr>
          <w:sz w:val="18"/>
          <w:szCs w:val="18"/>
          <w:lang w:val="cs-CZ"/>
        </w:rPr>
        <w:t xml:space="preserve"> a vlastnictvím</w:t>
      </w:r>
      <w:r w:rsidRPr="002C1314">
        <w:rPr>
          <w:sz w:val="18"/>
          <w:szCs w:val="18"/>
          <w:lang w:val="cs-CZ"/>
        </w:rPr>
        <w:t xml:space="preserve"> Participací jsou spojena rizika</w:t>
      </w:r>
      <w:r>
        <w:rPr>
          <w:sz w:val="18"/>
          <w:szCs w:val="18"/>
          <w:lang w:val="cs-CZ"/>
        </w:rPr>
        <w:t>, jejichž demonstrativní výčet následuje. Investor by měl tato rizika důkladně zvážit a zohlednit při rozhodování o nabytí Participace.</w:t>
      </w:r>
      <w:r w:rsidR="00223F19">
        <w:rPr>
          <w:sz w:val="18"/>
          <w:szCs w:val="18"/>
          <w:lang w:val="cs-CZ"/>
        </w:rPr>
        <w:t xml:space="preserve"> Investor může zčásti či zcela</w:t>
      </w:r>
      <w:r w:rsidR="008A19C8">
        <w:rPr>
          <w:sz w:val="18"/>
          <w:szCs w:val="18"/>
          <w:lang w:val="cs-CZ"/>
        </w:rPr>
        <w:t xml:space="preserve"> </w:t>
      </w:r>
      <w:r w:rsidR="00BB03B5">
        <w:rPr>
          <w:sz w:val="18"/>
          <w:szCs w:val="18"/>
          <w:lang w:val="cs-CZ"/>
        </w:rPr>
        <w:t xml:space="preserve">přijít </w:t>
      </w:r>
      <w:r w:rsidR="008A19C8">
        <w:rPr>
          <w:sz w:val="18"/>
          <w:szCs w:val="18"/>
          <w:lang w:val="cs-CZ"/>
        </w:rPr>
        <w:t xml:space="preserve">o částku odpovídající </w:t>
      </w:r>
      <w:r w:rsidR="00127637">
        <w:rPr>
          <w:sz w:val="18"/>
          <w:szCs w:val="18"/>
          <w:lang w:val="cs-CZ"/>
        </w:rPr>
        <w:t>Investované částce</w:t>
      </w:r>
      <w:r w:rsidR="000B5693">
        <w:rPr>
          <w:sz w:val="18"/>
          <w:szCs w:val="18"/>
          <w:lang w:val="cs-CZ"/>
        </w:rPr>
        <w:t>,</w:t>
      </w:r>
      <w:r w:rsidR="008A19C8">
        <w:rPr>
          <w:sz w:val="18"/>
          <w:szCs w:val="18"/>
          <w:lang w:val="cs-CZ"/>
        </w:rPr>
        <w:t xml:space="preserve"> pokud Úvěr nebude zcela splacen, v důsledku z čehož nebude </w:t>
      </w:r>
      <w:r w:rsidR="00BB03B5">
        <w:rPr>
          <w:sz w:val="18"/>
          <w:szCs w:val="18"/>
          <w:lang w:val="cs-CZ"/>
        </w:rPr>
        <w:t>uhrazena část odpovídající Participaci</w:t>
      </w:r>
      <w:r w:rsidR="008A19C8">
        <w:rPr>
          <w:sz w:val="18"/>
          <w:szCs w:val="18"/>
          <w:lang w:val="cs-CZ"/>
        </w:rPr>
        <w:t>.</w:t>
      </w:r>
      <w:r w:rsidR="003B518C">
        <w:rPr>
          <w:sz w:val="18"/>
          <w:szCs w:val="18"/>
          <w:lang w:val="cs-CZ"/>
        </w:rPr>
        <w:t xml:space="preserve"> </w:t>
      </w:r>
      <w:proofErr w:type="spellStart"/>
      <w:r w:rsidR="003B518C">
        <w:rPr>
          <w:sz w:val="18"/>
          <w:szCs w:val="18"/>
          <w:lang w:val="cs-CZ"/>
        </w:rPr>
        <w:t>Bankee</w:t>
      </w:r>
      <w:proofErr w:type="spellEnd"/>
      <w:r w:rsidR="003B518C">
        <w:rPr>
          <w:sz w:val="18"/>
          <w:szCs w:val="18"/>
          <w:lang w:val="cs-CZ"/>
        </w:rPr>
        <w:t xml:space="preserve"> jakožto postupitel neručí za dobytnost postupovaných pohledávek vůči Úvěrovanému (Participací).</w:t>
      </w:r>
    </w:p>
    <w:p w14:paraId="4DC018EE" w14:textId="23C032D2" w:rsidR="00FB39A6" w:rsidRDefault="00FB39A6" w:rsidP="002C1314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Ř</w:t>
      </w:r>
      <w:r w:rsidRPr="00FB39A6">
        <w:rPr>
          <w:sz w:val="18"/>
          <w:szCs w:val="18"/>
          <w:lang w:val="cs-CZ"/>
        </w:rPr>
        <w:t>ádné a včasné splacení Úvěru závisí na finanční situaci Úvěrovaného; jeho schopnost splácet je zcela klíčová pro plnění závazků z Participací. Historická finanční výkonnost Úvěrovaného není zárukou budoucích výnosů.</w:t>
      </w:r>
    </w:p>
    <w:p w14:paraId="77532AD8" w14:textId="0A360B05" w:rsidR="002C1314" w:rsidRDefault="00BB03B5" w:rsidP="002C1314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Proces vymáhání a případného zpeněžení Zajištění </w:t>
      </w:r>
      <w:r w:rsidR="00737A6B">
        <w:rPr>
          <w:sz w:val="18"/>
          <w:szCs w:val="18"/>
          <w:lang w:val="cs-CZ"/>
        </w:rPr>
        <w:t>je ovlivněn mnoha faktory</w:t>
      </w:r>
      <w:r w:rsidR="00FB39A6">
        <w:rPr>
          <w:sz w:val="18"/>
          <w:szCs w:val="18"/>
          <w:lang w:val="cs-CZ"/>
        </w:rPr>
        <w:t>,</w:t>
      </w:r>
      <w:r w:rsidR="00737A6B">
        <w:rPr>
          <w:sz w:val="18"/>
          <w:szCs w:val="18"/>
          <w:lang w:val="cs-CZ"/>
        </w:rPr>
        <w:t xml:space="preserve"> a i přes vyvinuté úsilí ze strany </w:t>
      </w:r>
      <w:proofErr w:type="spellStart"/>
      <w:r w:rsidR="00737A6B">
        <w:rPr>
          <w:sz w:val="18"/>
          <w:szCs w:val="18"/>
          <w:lang w:val="cs-CZ"/>
        </w:rPr>
        <w:t>Bankee</w:t>
      </w:r>
      <w:proofErr w:type="spellEnd"/>
      <w:r w:rsidR="00737A6B">
        <w:rPr>
          <w:sz w:val="18"/>
          <w:szCs w:val="18"/>
          <w:lang w:val="cs-CZ"/>
        </w:rPr>
        <w:t xml:space="preserve"> (Agenta pro Zajištění) může dojít k tomu, že výnos z procesu vymáhání a/nebo ze Zajištění nebude zcela postačovat k úhradě všech Splatných pohledávek.</w:t>
      </w:r>
      <w:r>
        <w:rPr>
          <w:sz w:val="18"/>
          <w:szCs w:val="18"/>
          <w:lang w:val="cs-CZ"/>
        </w:rPr>
        <w:t xml:space="preserve"> </w:t>
      </w:r>
    </w:p>
    <w:p w14:paraId="1CF0C2AF" w14:textId="2CA42EFD" w:rsidR="001B4824" w:rsidRDefault="001B4824" w:rsidP="001B4824">
      <w:pPr>
        <w:pStyle w:val="Nadpis2"/>
        <w:tabs>
          <w:tab w:val="clear" w:pos="709"/>
          <w:tab w:val="num" w:pos="426"/>
        </w:tabs>
        <w:ind w:left="426" w:hanging="426"/>
        <w:rPr>
          <w:sz w:val="18"/>
          <w:szCs w:val="18"/>
          <w:lang w:val="cs-CZ"/>
        </w:rPr>
      </w:pPr>
      <w:r w:rsidRPr="001B4824">
        <w:rPr>
          <w:sz w:val="18"/>
          <w:szCs w:val="18"/>
          <w:lang w:val="cs-CZ"/>
        </w:rPr>
        <w:t xml:space="preserve">Služby poskytované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</w:t>
      </w:r>
      <w:r w:rsidRPr="001B4824">
        <w:rPr>
          <w:sz w:val="18"/>
          <w:szCs w:val="18"/>
          <w:lang w:val="cs-CZ"/>
        </w:rPr>
        <w:t xml:space="preserve">nejsou </w:t>
      </w:r>
      <w:r>
        <w:rPr>
          <w:sz w:val="18"/>
          <w:szCs w:val="18"/>
          <w:lang w:val="cs-CZ"/>
        </w:rPr>
        <w:t xml:space="preserve">legislativně </w:t>
      </w:r>
      <w:r w:rsidRPr="001B4824">
        <w:rPr>
          <w:sz w:val="18"/>
          <w:szCs w:val="18"/>
          <w:lang w:val="cs-CZ"/>
        </w:rPr>
        <w:t>upraveny v</w:t>
      </w:r>
      <w:r w:rsidR="00FB39A6">
        <w:rPr>
          <w:sz w:val="18"/>
          <w:szCs w:val="18"/>
          <w:lang w:val="cs-CZ"/>
        </w:rPr>
        <w:t> </w:t>
      </w:r>
      <w:r w:rsidRPr="001B4824">
        <w:rPr>
          <w:sz w:val="18"/>
          <w:szCs w:val="18"/>
          <w:lang w:val="cs-CZ"/>
        </w:rPr>
        <w:t xml:space="preserve">plném rozsahu, jelikož se nejedná o investiční crowdfunding dle nařízení Evropského parlamentu a Rady (EU) 2020/1503 ze </w:t>
      </w:r>
      <w:r w:rsidRPr="001B4824">
        <w:rPr>
          <w:sz w:val="18"/>
          <w:szCs w:val="18"/>
          <w:lang w:val="cs-CZ"/>
        </w:rPr>
        <w:lastRenderedPageBreak/>
        <w:t xml:space="preserve">dne 7. října 2020 o evropských poskytovatelích služeb skupinového financování pro podniky. Práva a povinnosti jsou českým právním řádem </w:t>
      </w:r>
      <w:r>
        <w:rPr>
          <w:sz w:val="18"/>
          <w:szCs w:val="18"/>
          <w:lang w:val="cs-CZ"/>
        </w:rPr>
        <w:t xml:space="preserve">výslovně </w:t>
      </w:r>
      <w:r w:rsidRPr="001B4824">
        <w:rPr>
          <w:sz w:val="18"/>
          <w:szCs w:val="18"/>
          <w:lang w:val="cs-CZ"/>
        </w:rPr>
        <w:t xml:space="preserve">upraveny jen v určitých </w:t>
      </w:r>
      <w:r>
        <w:rPr>
          <w:sz w:val="18"/>
          <w:szCs w:val="18"/>
          <w:lang w:val="cs-CZ"/>
        </w:rPr>
        <w:t xml:space="preserve">dílčích </w:t>
      </w:r>
      <w:r w:rsidRPr="001B4824">
        <w:rPr>
          <w:sz w:val="18"/>
          <w:szCs w:val="18"/>
          <w:lang w:val="cs-CZ"/>
        </w:rPr>
        <w:t>oblastech. Existuje</w:t>
      </w:r>
      <w:r>
        <w:rPr>
          <w:sz w:val="18"/>
          <w:szCs w:val="18"/>
          <w:lang w:val="cs-CZ"/>
        </w:rPr>
        <w:t xml:space="preserve"> tak</w:t>
      </w:r>
      <w:r w:rsidRPr="001B4824">
        <w:rPr>
          <w:sz w:val="18"/>
          <w:szCs w:val="18"/>
          <w:lang w:val="cs-CZ"/>
        </w:rPr>
        <w:t xml:space="preserve"> riziko, že změnou legislativy či závazného právního názoru správních orgánů</w:t>
      </w:r>
      <w:r>
        <w:rPr>
          <w:sz w:val="18"/>
          <w:szCs w:val="18"/>
          <w:lang w:val="cs-CZ"/>
        </w:rPr>
        <w:t xml:space="preserve"> (např. výkladová stanoviska ČNB)</w:t>
      </w:r>
      <w:r w:rsidRPr="001B4824">
        <w:rPr>
          <w:sz w:val="18"/>
          <w:szCs w:val="18"/>
          <w:lang w:val="cs-CZ"/>
        </w:rPr>
        <w:t xml:space="preserve"> bude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n</w:t>
      </w:r>
      <w:r w:rsidRPr="001B4824">
        <w:rPr>
          <w:sz w:val="18"/>
          <w:szCs w:val="18"/>
          <w:lang w:val="cs-CZ"/>
        </w:rPr>
        <w:t>ucena ukončit poskytování Participací</w:t>
      </w:r>
      <w:r>
        <w:rPr>
          <w:sz w:val="18"/>
          <w:szCs w:val="18"/>
          <w:lang w:val="cs-CZ"/>
        </w:rPr>
        <w:t>,</w:t>
      </w:r>
      <w:r w:rsidRPr="001B4824">
        <w:rPr>
          <w:sz w:val="18"/>
          <w:szCs w:val="18"/>
          <w:lang w:val="cs-CZ"/>
        </w:rPr>
        <w:t xml:space="preserve"> jejich správu a</w:t>
      </w:r>
      <w:r>
        <w:rPr>
          <w:sz w:val="18"/>
          <w:szCs w:val="18"/>
          <w:lang w:val="cs-CZ"/>
        </w:rPr>
        <w:t>/nebo</w:t>
      </w:r>
      <w:r w:rsidRPr="001B4824">
        <w:rPr>
          <w:sz w:val="18"/>
          <w:szCs w:val="18"/>
          <w:lang w:val="cs-CZ"/>
        </w:rPr>
        <w:t xml:space="preserve"> vymáhání. Jelikož postoupení pohledávky je </w:t>
      </w:r>
      <w:r>
        <w:rPr>
          <w:sz w:val="18"/>
          <w:szCs w:val="18"/>
          <w:lang w:val="cs-CZ"/>
        </w:rPr>
        <w:t xml:space="preserve">obecně </w:t>
      </w:r>
      <w:r w:rsidRPr="001B4824">
        <w:rPr>
          <w:sz w:val="18"/>
          <w:szCs w:val="18"/>
          <w:lang w:val="cs-CZ"/>
        </w:rPr>
        <w:t>upraveno právním řádem</w:t>
      </w:r>
      <w:r>
        <w:rPr>
          <w:sz w:val="18"/>
          <w:szCs w:val="18"/>
          <w:lang w:val="cs-CZ"/>
        </w:rPr>
        <w:t xml:space="preserve"> (Občanským zákoníkem)</w:t>
      </w:r>
      <w:r w:rsidRPr="001B4824">
        <w:rPr>
          <w:sz w:val="18"/>
          <w:szCs w:val="18"/>
          <w:lang w:val="cs-CZ"/>
        </w:rPr>
        <w:t xml:space="preserve">, neohrozí ukončení </w:t>
      </w:r>
      <w:r w:rsidR="00704E0F">
        <w:rPr>
          <w:sz w:val="18"/>
          <w:szCs w:val="18"/>
          <w:lang w:val="cs-CZ"/>
        </w:rPr>
        <w:t xml:space="preserve">nabídky Participací, jejich </w:t>
      </w:r>
      <w:r w:rsidRPr="001B4824">
        <w:rPr>
          <w:sz w:val="18"/>
          <w:szCs w:val="18"/>
          <w:lang w:val="cs-CZ"/>
        </w:rPr>
        <w:t>správ</w:t>
      </w:r>
      <w:r w:rsidR="002D0122">
        <w:rPr>
          <w:sz w:val="18"/>
          <w:szCs w:val="18"/>
          <w:lang w:val="cs-CZ"/>
        </w:rPr>
        <w:t>u</w:t>
      </w:r>
      <w:r w:rsidRPr="001B4824">
        <w:rPr>
          <w:sz w:val="18"/>
          <w:szCs w:val="18"/>
          <w:lang w:val="cs-CZ"/>
        </w:rPr>
        <w:t xml:space="preserve"> a</w:t>
      </w:r>
      <w:r w:rsidR="00704E0F">
        <w:rPr>
          <w:sz w:val="18"/>
          <w:szCs w:val="18"/>
          <w:lang w:val="cs-CZ"/>
        </w:rPr>
        <w:t>/nebo</w:t>
      </w:r>
      <w:r w:rsidRPr="001B4824">
        <w:rPr>
          <w:sz w:val="18"/>
          <w:szCs w:val="18"/>
          <w:lang w:val="cs-CZ"/>
        </w:rPr>
        <w:t xml:space="preserve"> vymáhání právo Investora na Plnění připadající na Participaci. To může pro Investora znamenat snížení efektivnosti správy a vymáhání Participace a zvýšení nákladů spojených se správou a vymáháním Participace</w:t>
      </w:r>
      <w:r w:rsidR="00704E0F">
        <w:rPr>
          <w:sz w:val="18"/>
          <w:szCs w:val="18"/>
          <w:lang w:val="cs-CZ"/>
        </w:rPr>
        <w:t>.</w:t>
      </w:r>
    </w:p>
    <w:p w14:paraId="129F9843" w14:textId="214B4641" w:rsidR="001B4824" w:rsidRDefault="001B4824" w:rsidP="001B4824">
      <w:pPr>
        <w:pStyle w:val="Nadpis2"/>
        <w:tabs>
          <w:tab w:val="clear" w:pos="709"/>
          <w:tab w:val="num" w:pos="426"/>
        </w:tabs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Participaci nelze bez předchozího písemného souhlasu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zcela ani zčásti postoupit na jako</w:t>
      </w:r>
      <w:r w:rsidR="00FB39A6">
        <w:rPr>
          <w:sz w:val="18"/>
          <w:szCs w:val="18"/>
          <w:lang w:val="cs-CZ"/>
        </w:rPr>
        <w:t>u</w:t>
      </w:r>
      <w:r>
        <w:rPr>
          <w:sz w:val="18"/>
          <w:szCs w:val="18"/>
          <w:lang w:val="cs-CZ"/>
        </w:rPr>
        <w:t xml:space="preserve">koli třetí osobu.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je také oprávněn</w:t>
      </w:r>
      <w:r w:rsidR="00FB39A6">
        <w:rPr>
          <w:sz w:val="18"/>
          <w:szCs w:val="18"/>
          <w:lang w:val="cs-CZ"/>
        </w:rPr>
        <w:t>a</w:t>
      </w:r>
      <w:r>
        <w:rPr>
          <w:sz w:val="18"/>
          <w:szCs w:val="18"/>
          <w:lang w:val="cs-CZ"/>
        </w:rPr>
        <w:t>, nikoli však povinna, Participaci na základě svého výhradního uvážení odkoupit. Z těchto důvodů by Investoři měli k nabytí Participací využít výhradně voln</w:t>
      </w:r>
      <w:r w:rsidR="00FB39A6">
        <w:rPr>
          <w:sz w:val="18"/>
          <w:szCs w:val="18"/>
          <w:lang w:val="cs-CZ"/>
        </w:rPr>
        <w:t>é</w:t>
      </w:r>
      <w:r>
        <w:rPr>
          <w:sz w:val="18"/>
          <w:szCs w:val="18"/>
          <w:lang w:val="cs-CZ"/>
        </w:rPr>
        <w:t xml:space="preserve"> prostředk</w:t>
      </w:r>
      <w:r w:rsidR="00FB39A6">
        <w:rPr>
          <w:sz w:val="18"/>
          <w:szCs w:val="18"/>
          <w:lang w:val="cs-CZ"/>
        </w:rPr>
        <w:t>y</w:t>
      </w:r>
      <w:r>
        <w:rPr>
          <w:sz w:val="18"/>
          <w:szCs w:val="18"/>
          <w:lang w:val="cs-CZ"/>
        </w:rPr>
        <w:t>, které po celou dobu trvání Participace nebudou potřebovat k úhradě jiných závazků.</w:t>
      </w:r>
    </w:p>
    <w:p w14:paraId="759F2D6F" w14:textId="332E4F29" w:rsidR="001B4824" w:rsidRPr="001B4824" w:rsidRDefault="001B4824" w:rsidP="00FB39A6">
      <w:pPr>
        <w:pStyle w:val="Nadpis2"/>
        <w:tabs>
          <w:tab w:val="clear" w:pos="709"/>
          <w:tab w:val="num" w:pos="426"/>
        </w:tabs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Bankovní ú</w:t>
      </w:r>
      <w:r w:rsidRPr="001B4824">
        <w:rPr>
          <w:sz w:val="18"/>
          <w:szCs w:val="18"/>
          <w:lang w:val="cs-CZ"/>
        </w:rPr>
        <w:t xml:space="preserve">čet </w:t>
      </w:r>
      <w:proofErr w:type="spellStart"/>
      <w:r w:rsidRPr="001B4824">
        <w:rPr>
          <w:sz w:val="18"/>
          <w:szCs w:val="18"/>
          <w:lang w:val="cs-CZ"/>
        </w:rPr>
        <w:t>Bankee</w:t>
      </w:r>
      <w:proofErr w:type="spellEnd"/>
      <w:r w:rsidRPr="001B4824">
        <w:rPr>
          <w:sz w:val="18"/>
          <w:szCs w:val="18"/>
          <w:lang w:val="cs-CZ"/>
        </w:rPr>
        <w:t xml:space="preserve"> není veden jako účet ve zvláštním režimu podle zákona č. 370/2017 Sb., o platebním styku. Zůstatek na Účtu </w:t>
      </w:r>
      <w:proofErr w:type="spellStart"/>
      <w:r w:rsidRPr="001B4824">
        <w:rPr>
          <w:sz w:val="18"/>
          <w:szCs w:val="18"/>
          <w:lang w:val="cs-CZ"/>
        </w:rPr>
        <w:t>Bankee</w:t>
      </w:r>
      <w:proofErr w:type="spellEnd"/>
      <w:r w:rsidRPr="001B4824">
        <w:rPr>
          <w:sz w:val="18"/>
          <w:szCs w:val="18"/>
          <w:lang w:val="cs-CZ"/>
        </w:rPr>
        <w:t xml:space="preserve"> je pojištěn Garančním systémem finančního trhu pouze do výše 100 000 EUR, a to v celkovém součtu všech prostředků vedených na daném bankovním účtu, včetně souhrnu prostředků zaslaných všemi Investory za účelem nabytí Participací. Za účelem omezení rizika souvisejícího s limitem pojištění vkladů je </w:t>
      </w:r>
      <w:proofErr w:type="spellStart"/>
      <w:r w:rsidRPr="001B4824">
        <w:rPr>
          <w:sz w:val="18"/>
          <w:szCs w:val="18"/>
          <w:lang w:val="cs-CZ"/>
        </w:rPr>
        <w:t>Bankee</w:t>
      </w:r>
      <w:proofErr w:type="spellEnd"/>
      <w:r w:rsidRPr="001B4824">
        <w:rPr>
          <w:sz w:val="18"/>
          <w:szCs w:val="18"/>
          <w:lang w:val="cs-CZ"/>
        </w:rPr>
        <w:t xml:space="preserve"> oprávněna evidovat prostředky Investorů na více bankovních účtech, zejména u systémově významných bank působících v České republice</w:t>
      </w:r>
    </w:p>
    <w:p w14:paraId="7C7B26BA" w14:textId="548A9695" w:rsidR="001B4824" w:rsidRPr="00FB39A6" w:rsidRDefault="00BB03B5" w:rsidP="00FB39A6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za poskytnutí Úvěru od Úvěrovaného obdrží poplatek</w:t>
      </w:r>
      <w:r w:rsidR="00452B48">
        <w:rPr>
          <w:sz w:val="18"/>
          <w:szCs w:val="18"/>
          <w:lang w:val="cs-CZ"/>
        </w:rPr>
        <w:t>.</w:t>
      </w:r>
      <w:r>
        <w:rPr>
          <w:sz w:val="18"/>
          <w:szCs w:val="18"/>
          <w:lang w:val="cs-CZ"/>
        </w:rPr>
        <w:t xml:space="preserve"> </w:t>
      </w:r>
      <w:r w:rsidR="00452B48">
        <w:rPr>
          <w:sz w:val="18"/>
          <w:szCs w:val="18"/>
          <w:lang w:val="cs-CZ"/>
        </w:rPr>
        <w:t>Z</w:t>
      </w:r>
      <w:r>
        <w:rPr>
          <w:sz w:val="18"/>
          <w:szCs w:val="18"/>
          <w:lang w:val="cs-CZ"/>
        </w:rPr>
        <w:t> tohoto důvodu má finanční motivaci k poskytnutí Úvěru</w:t>
      </w:r>
      <w:r w:rsidR="00737A6B">
        <w:rPr>
          <w:sz w:val="18"/>
          <w:szCs w:val="18"/>
          <w:lang w:val="cs-CZ"/>
        </w:rPr>
        <w:t xml:space="preserve"> a ke</w:t>
      </w:r>
      <w:r w:rsidR="00FB39A6">
        <w:rPr>
          <w:sz w:val="18"/>
          <w:szCs w:val="18"/>
          <w:lang w:val="cs-CZ"/>
        </w:rPr>
        <w:t> </w:t>
      </w:r>
      <w:r w:rsidR="00737A6B">
        <w:rPr>
          <w:sz w:val="18"/>
          <w:szCs w:val="18"/>
          <w:lang w:val="cs-CZ"/>
        </w:rPr>
        <w:t>zprostředkování co nejvyššího množství Participací</w:t>
      </w:r>
      <w:r w:rsidR="000B5693">
        <w:rPr>
          <w:sz w:val="18"/>
          <w:szCs w:val="18"/>
          <w:lang w:val="cs-CZ"/>
        </w:rPr>
        <w:t xml:space="preserve"> Investorům</w:t>
      </w:r>
      <w:r w:rsidR="002C1314">
        <w:rPr>
          <w:sz w:val="18"/>
          <w:szCs w:val="18"/>
          <w:lang w:val="cs-CZ"/>
        </w:rPr>
        <w:t>.</w:t>
      </w:r>
      <w:r w:rsidR="00737A6B">
        <w:rPr>
          <w:sz w:val="18"/>
          <w:szCs w:val="18"/>
          <w:lang w:val="cs-CZ"/>
        </w:rPr>
        <w:t xml:space="preserve"> Tato skutečnost zakládá střet zájmů </w:t>
      </w:r>
      <w:proofErr w:type="spellStart"/>
      <w:r w:rsidR="00737A6B">
        <w:rPr>
          <w:sz w:val="18"/>
          <w:szCs w:val="18"/>
          <w:lang w:val="cs-CZ"/>
        </w:rPr>
        <w:t>Bankee</w:t>
      </w:r>
      <w:proofErr w:type="spellEnd"/>
      <w:r w:rsidR="000B5693">
        <w:rPr>
          <w:sz w:val="18"/>
          <w:szCs w:val="18"/>
          <w:lang w:val="cs-CZ"/>
        </w:rPr>
        <w:t>, který nelze zcela eliminovat</w:t>
      </w:r>
      <w:r w:rsidR="00FB39A6">
        <w:rPr>
          <w:sz w:val="18"/>
          <w:szCs w:val="18"/>
          <w:lang w:val="cs-CZ"/>
        </w:rPr>
        <w:t>.</w:t>
      </w:r>
    </w:p>
    <w:p w14:paraId="212F4632" w14:textId="77777777" w:rsidR="00452B48" w:rsidRPr="00452B48" w:rsidRDefault="00452B48" w:rsidP="00452B48">
      <w:pPr>
        <w:spacing w:before="0" w:after="0"/>
        <w:rPr>
          <w:sz w:val="18"/>
          <w:szCs w:val="18"/>
        </w:rPr>
      </w:pPr>
    </w:p>
    <w:p w14:paraId="42EAC6AD" w14:textId="29C0C2DE" w:rsidR="005A2CCE" w:rsidRPr="00765E8C" w:rsidRDefault="005A2CCE" w:rsidP="00737A6B">
      <w:pPr>
        <w:pStyle w:val="Nadpis1"/>
        <w:tabs>
          <w:tab w:val="clear" w:pos="709"/>
          <w:tab w:val="num" w:pos="426"/>
        </w:tabs>
        <w:spacing w:before="0" w:after="0"/>
        <w:ind w:left="426" w:hanging="426"/>
        <w:rPr>
          <w:szCs w:val="18"/>
          <w:lang w:val="cs-CZ"/>
        </w:rPr>
      </w:pPr>
      <w:r w:rsidRPr="00765E8C">
        <w:rPr>
          <w:szCs w:val="18"/>
          <w:lang w:val="cs-CZ"/>
        </w:rPr>
        <w:t>ZACHOVÁNÍ DŮVĚRNÉ POVAHY INFORMACÍ</w:t>
      </w:r>
    </w:p>
    <w:p w14:paraId="25CA4BBA" w14:textId="54ABAC6D" w:rsidR="002A261D" w:rsidRDefault="00422AB2" w:rsidP="002A261D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Investor </w:t>
      </w:r>
      <w:r w:rsidR="00CD1ACC">
        <w:rPr>
          <w:sz w:val="18"/>
          <w:szCs w:val="18"/>
          <w:lang w:val="cs-CZ"/>
        </w:rPr>
        <w:t>je</w:t>
      </w:r>
      <w:r w:rsidR="005A2CCE" w:rsidRPr="00765E8C">
        <w:rPr>
          <w:sz w:val="18"/>
          <w:szCs w:val="18"/>
          <w:lang w:val="cs-CZ"/>
        </w:rPr>
        <w:t xml:space="preserve"> povin</w:t>
      </w:r>
      <w:r w:rsidR="00CD1ACC">
        <w:rPr>
          <w:sz w:val="18"/>
          <w:szCs w:val="18"/>
          <w:lang w:val="cs-CZ"/>
        </w:rPr>
        <w:t>en</w:t>
      </w:r>
      <w:r w:rsidR="005A2CCE" w:rsidRPr="00765E8C">
        <w:rPr>
          <w:sz w:val="18"/>
          <w:szCs w:val="18"/>
          <w:lang w:val="cs-CZ"/>
        </w:rPr>
        <w:t xml:space="preserve"> zachovávat důvěrnou povahu veškerých informací a dokumentů získaných v souvislosti s</w:t>
      </w:r>
      <w:r w:rsidR="00CD1ACC">
        <w:rPr>
          <w:sz w:val="18"/>
          <w:szCs w:val="18"/>
          <w:lang w:val="cs-CZ"/>
        </w:rPr>
        <w:t> Participacemi, tj. nesdělovat informace</w:t>
      </w:r>
      <w:r w:rsidR="005A2CCE" w:rsidRPr="00765E8C">
        <w:rPr>
          <w:sz w:val="18"/>
          <w:szCs w:val="18"/>
          <w:lang w:val="cs-CZ"/>
        </w:rPr>
        <w:t xml:space="preserve"> a nevyužít je žádným způsobem, s výjimkou Informací, které (a) jsou všeobecně dostupné veřej</w:t>
      </w:r>
      <w:r w:rsidR="00C761E9" w:rsidRPr="00765E8C">
        <w:rPr>
          <w:sz w:val="18"/>
          <w:szCs w:val="18"/>
          <w:lang w:val="cs-CZ"/>
        </w:rPr>
        <w:t xml:space="preserve">nosti (jinak než porušením </w:t>
      </w:r>
      <w:r w:rsidR="00CD1ACC">
        <w:rPr>
          <w:sz w:val="18"/>
          <w:szCs w:val="18"/>
          <w:lang w:val="cs-CZ"/>
        </w:rPr>
        <w:t>Rámcové smlouvy</w:t>
      </w:r>
      <w:r w:rsidR="00B70CBF">
        <w:rPr>
          <w:sz w:val="18"/>
          <w:szCs w:val="18"/>
          <w:lang w:val="cs-CZ"/>
        </w:rPr>
        <w:t xml:space="preserve"> či těchto Obchodních podmínek), (b) jsou dostupné </w:t>
      </w:r>
      <w:r w:rsidR="005A2CCE" w:rsidRPr="00765E8C">
        <w:rPr>
          <w:sz w:val="18"/>
          <w:szCs w:val="18"/>
          <w:lang w:val="cs-CZ"/>
        </w:rPr>
        <w:t>na nedůvěrném základě ze zdroje, který nepodléhá zákazu sdělení daných informací</w:t>
      </w:r>
      <w:r w:rsidR="00FB39A6">
        <w:rPr>
          <w:sz w:val="18"/>
          <w:szCs w:val="18"/>
          <w:lang w:val="cs-CZ"/>
        </w:rPr>
        <w:t>,</w:t>
      </w:r>
      <w:r w:rsidR="005A2CCE" w:rsidRPr="00765E8C">
        <w:rPr>
          <w:sz w:val="18"/>
          <w:szCs w:val="18"/>
          <w:lang w:val="cs-CZ"/>
        </w:rPr>
        <w:t xml:space="preserve"> nebo které (c) je povin</w:t>
      </w:r>
      <w:r w:rsidR="00CD1ACC">
        <w:rPr>
          <w:sz w:val="18"/>
          <w:szCs w:val="18"/>
          <w:lang w:val="cs-CZ"/>
        </w:rPr>
        <w:t>en</w:t>
      </w:r>
      <w:r w:rsidR="005A2CCE" w:rsidRPr="00765E8C">
        <w:rPr>
          <w:sz w:val="18"/>
          <w:szCs w:val="18"/>
          <w:lang w:val="cs-CZ"/>
        </w:rPr>
        <w:t xml:space="preserve"> sdělit podle platného zákona nebo na základě </w:t>
      </w:r>
      <w:r w:rsidR="00CD1ACC">
        <w:rPr>
          <w:sz w:val="18"/>
          <w:szCs w:val="18"/>
          <w:lang w:val="cs-CZ"/>
        </w:rPr>
        <w:t>rozhodnutí soudu či jiného orgánu veřejné moci</w:t>
      </w:r>
      <w:r w:rsidR="005A2CCE" w:rsidRPr="00765E8C">
        <w:rPr>
          <w:sz w:val="18"/>
          <w:szCs w:val="18"/>
          <w:lang w:val="cs-CZ"/>
        </w:rPr>
        <w:t>.</w:t>
      </w:r>
    </w:p>
    <w:p w14:paraId="0A43D282" w14:textId="77777777" w:rsidR="008323FC" w:rsidRPr="00FB39A6" w:rsidRDefault="008323FC" w:rsidP="00FB39A6">
      <w:pPr>
        <w:spacing w:before="0" w:after="0"/>
        <w:rPr>
          <w:sz w:val="18"/>
          <w:szCs w:val="18"/>
        </w:rPr>
      </w:pPr>
    </w:p>
    <w:p w14:paraId="033154D0" w14:textId="2D6917A1" w:rsidR="006E77D1" w:rsidRDefault="006E77D1" w:rsidP="005C11C6">
      <w:pPr>
        <w:pStyle w:val="Nadpis1"/>
        <w:tabs>
          <w:tab w:val="clear" w:pos="709"/>
          <w:tab w:val="num" w:pos="426"/>
        </w:tabs>
        <w:spacing w:before="0" w:after="0"/>
        <w:ind w:left="426" w:hanging="426"/>
        <w:rPr>
          <w:szCs w:val="18"/>
          <w:lang w:val="cs-CZ"/>
        </w:rPr>
      </w:pPr>
      <w:r w:rsidRPr="00FB39A6">
        <w:rPr>
          <w:szCs w:val="18"/>
          <w:lang w:val="cs-CZ"/>
        </w:rPr>
        <w:t xml:space="preserve">UKONČENÍ </w:t>
      </w:r>
      <w:r>
        <w:rPr>
          <w:szCs w:val="18"/>
          <w:lang w:val="cs-CZ"/>
        </w:rPr>
        <w:t xml:space="preserve">rámcové </w:t>
      </w:r>
      <w:r w:rsidRPr="00FB39A6">
        <w:rPr>
          <w:szCs w:val="18"/>
          <w:lang w:val="cs-CZ"/>
        </w:rPr>
        <w:t>SMLOUVY</w:t>
      </w:r>
      <w:r>
        <w:rPr>
          <w:szCs w:val="18"/>
          <w:lang w:val="cs-CZ"/>
        </w:rPr>
        <w:t>, DĚDICTVÍ</w:t>
      </w:r>
    </w:p>
    <w:p w14:paraId="46E8157A" w14:textId="5E85E619" w:rsidR="006E77D1" w:rsidRDefault="006E77D1" w:rsidP="006E77D1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Investor není oprávněn od Rámcové smlouvy odstoupit, vyjma případ</w:t>
      </w:r>
      <w:r w:rsidR="00C4242B">
        <w:rPr>
          <w:sz w:val="18"/>
          <w:szCs w:val="18"/>
          <w:lang w:val="cs-CZ"/>
        </w:rPr>
        <w:t>ů, kdy k odstoupení dochází Investorem, který je spotřebitelem v souladu s Občanským zákoníkem (tj. dle ustanovení § 1829 a násl.).</w:t>
      </w:r>
    </w:p>
    <w:p w14:paraId="6E649E50" w14:textId="790638D1" w:rsidR="00C4242B" w:rsidRPr="00F43EAC" w:rsidRDefault="00C4242B" w:rsidP="00F43EAC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proofErr w:type="spellStart"/>
      <w:r w:rsidRPr="00FB39A6">
        <w:rPr>
          <w:sz w:val="18"/>
          <w:szCs w:val="18"/>
          <w:lang w:val="cs-CZ"/>
        </w:rPr>
        <w:t>Bankee</w:t>
      </w:r>
      <w:proofErr w:type="spellEnd"/>
      <w:r w:rsidRPr="00FB39A6">
        <w:rPr>
          <w:sz w:val="18"/>
          <w:szCs w:val="18"/>
          <w:lang w:val="cs-CZ"/>
        </w:rPr>
        <w:t xml:space="preserve"> </w:t>
      </w:r>
      <w:r>
        <w:rPr>
          <w:sz w:val="18"/>
          <w:szCs w:val="18"/>
          <w:lang w:val="cs-CZ"/>
        </w:rPr>
        <w:t>je oprávněna odstoupit od Rámcové smlouvy</w:t>
      </w:r>
      <w:r w:rsidR="00423515">
        <w:rPr>
          <w:sz w:val="18"/>
          <w:szCs w:val="18"/>
          <w:lang w:val="cs-CZ"/>
        </w:rPr>
        <w:t xml:space="preserve"> či tuto smlouvu vypovědět s okamžitou účinností </w:t>
      </w:r>
      <w:r w:rsidR="00F43EAC">
        <w:rPr>
          <w:sz w:val="18"/>
          <w:szCs w:val="18"/>
          <w:lang w:val="cs-CZ"/>
        </w:rPr>
        <w:t>(</w:t>
      </w:r>
      <w:r w:rsidR="00423515">
        <w:rPr>
          <w:sz w:val="18"/>
          <w:szCs w:val="18"/>
          <w:lang w:val="cs-CZ"/>
        </w:rPr>
        <w:t>dle svého výhradního uvážení</w:t>
      </w:r>
      <w:r w:rsidR="00F43EAC" w:rsidRPr="00F43EAC">
        <w:rPr>
          <w:sz w:val="18"/>
          <w:szCs w:val="18"/>
          <w:lang w:val="cs-CZ"/>
        </w:rPr>
        <w:t>)</w:t>
      </w:r>
      <w:r w:rsidR="00423515" w:rsidRPr="00F43EAC">
        <w:rPr>
          <w:sz w:val="18"/>
          <w:szCs w:val="18"/>
          <w:lang w:val="cs-CZ"/>
        </w:rPr>
        <w:t>,</w:t>
      </w:r>
      <w:r w:rsidRPr="00F43EAC">
        <w:rPr>
          <w:sz w:val="18"/>
          <w:szCs w:val="18"/>
          <w:lang w:val="cs-CZ"/>
        </w:rPr>
        <w:t xml:space="preserve"> pokud:</w:t>
      </w:r>
    </w:p>
    <w:p w14:paraId="4348A10E" w14:textId="03D8387C" w:rsidR="00C4242B" w:rsidRPr="00FB39A6" w:rsidRDefault="00C4242B" w:rsidP="00C4242B">
      <w:pPr>
        <w:pStyle w:val="Nadpis2"/>
        <w:numPr>
          <w:ilvl w:val="0"/>
          <w:numId w:val="68"/>
        </w:numPr>
        <w:ind w:hanging="294"/>
        <w:rPr>
          <w:sz w:val="18"/>
          <w:szCs w:val="18"/>
          <w:lang w:val="cs-CZ"/>
        </w:rPr>
      </w:pPr>
      <w:r w:rsidRPr="00FB39A6">
        <w:rPr>
          <w:sz w:val="18"/>
          <w:szCs w:val="18"/>
          <w:lang w:val="cs-CZ"/>
        </w:rPr>
        <w:t xml:space="preserve">Investor poruší podmínky použití Platformy dle čl. </w:t>
      </w:r>
      <w:r w:rsidR="003020A1">
        <w:rPr>
          <w:sz w:val="18"/>
          <w:szCs w:val="18"/>
          <w:lang w:val="cs-CZ"/>
        </w:rPr>
        <w:fldChar w:fldCharType="begin"/>
      </w:r>
      <w:r w:rsidR="003020A1">
        <w:rPr>
          <w:sz w:val="18"/>
          <w:szCs w:val="18"/>
          <w:lang w:val="cs-CZ"/>
        </w:rPr>
        <w:instrText xml:space="preserve"> REF _Ref214009434 \r \h </w:instrText>
      </w:r>
      <w:r w:rsidR="003020A1">
        <w:rPr>
          <w:sz w:val="18"/>
          <w:szCs w:val="18"/>
          <w:lang w:val="cs-CZ"/>
        </w:rPr>
      </w:r>
      <w:r w:rsidR="003020A1">
        <w:rPr>
          <w:sz w:val="18"/>
          <w:szCs w:val="18"/>
          <w:lang w:val="cs-CZ"/>
        </w:rPr>
        <w:fldChar w:fldCharType="separate"/>
      </w:r>
      <w:r w:rsidR="003745F2">
        <w:rPr>
          <w:sz w:val="18"/>
          <w:szCs w:val="18"/>
          <w:lang w:val="cs-CZ"/>
        </w:rPr>
        <w:t>3.5</w:t>
      </w:r>
      <w:r w:rsidR="003020A1">
        <w:rPr>
          <w:sz w:val="18"/>
          <w:szCs w:val="18"/>
          <w:lang w:val="cs-CZ"/>
        </w:rPr>
        <w:fldChar w:fldCharType="end"/>
      </w:r>
      <w:r w:rsidRPr="00FB39A6">
        <w:rPr>
          <w:sz w:val="18"/>
          <w:szCs w:val="18"/>
          <w:lang w:val="cs-CZ"/>
        </w:rPr>
        <w:t>;</w:t>
      </w:r>
    </w:p>
    <w:p w14:paraId="2C059DE7" w14:textId="061A636F" w:rsidR="00C4242B" w:rsidRDefault="00C4242B" w:rsidP="00C4242B">
      <w:pPr>
        <w:pStyle w:val="Nadpis2"/>
        <w:numPr>
          <w:ilvl w:val="0"/>
          <w:numId w:val="68"/>
        </w:numPr>
        <w:ind w:hanging="294"/>
        <w:rPr>
          <w:sz w:val="18"/>
          <w:szCs w:val="18"/>
          <w:lang w:val="cs-CZ"/>
        </w:rPr>
      </w:pPr>
      <w:r w:rsidRPr="00FB39A6">
        <w:rPr>
          <w:sz w:val="18"/>
          <w:szCs w:val="18"/>
          <w:lang w:val="cs-CZ"/>
        </w:rPr>
        <w:t xml:space="preserve">Investor neposkytne součinnost při </w:t>
      </w:r>
      <w:r>
        <w:rPr>
          <w:sz w:val="18"/>
          <w:szCs w:val="18"/>
          <w:lang w:val="cs-CZ"/>
        </w:rPr>
        <w:t>plnění povinností vyplývajících z předpisů proti legalizaci výnosů z trestné činnosti a financování terorismu (včetně neoznámení relevantních změn);</w:t>
      </w:r>
    </w:p>
    <w:p w14:paraId="5F8913DE" w14:textId="076130D5" w:rsidR="00C4242B" w:rsidRDefault="00FB39A6" w:rsidP="00C4242B">
      <w:pPr>
        <w:pStyle w:val="Nadpis2"/>
        <w:numPr>
          <w:ilvl w:val="0"/>
          <w:numId w:val="68"/>
        </w:numPr>
        <w:ind w:hanging="294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n</w:t>
      </w:r>
      <w:r w:rsidR="00423515" w:rsidRPr="00FB39A6">
        <w:rPr>
          <w:sz w:val="18"/>
          <w:szCs w:val="18"/>
          <w:lang w:val="cs-CZ"/>
        </w:rPr>
        <w:t xml:space="preserve">astane případ porušení ve smyslu čl. </w:t>
      </w:r>
      <w:r w:rsidR="003020A1">
        <w:rPr>
          <w:sz w:val="18"/>
          <w:szCs w:val="18"/>
          <w:lang w:val="cs-CZ"/>
        </w:rPr>
        <w:fldChar w:fldCharType="begin"/>
      </w:r>
      <w:r w:rsidR="003020A1">
        <w:rPr>
          <w:sz w:val="18"/>
          <w:szCs w:val="18"/>
          <w:lang w:val="cs-CZ"/>
        </w:rPr>
        <w:instrText xml:space="preserve"> REF _Ref214009447 \r \h </w:instrText>
      </w:r>
      <w:r w:rsidR="003020A1">
        <w:rPr>
          <w:sz w:val="18"/>
          <w:szCs w:val="18"/>
          <w:lang w:val="cs-CZ"/>
        </w:rPr>
      </w:r>
      <w:r w:rsidR="003020A1">
        <w:rPr>
          <w:sz w:val="18"/>
          <w:szCs w:val="18"/>
          <w:lang w:val="cs-CZ"/>
        </w:rPr>
        <w:fldChar w:fldCharType="separate"/>
      </w:r>
      <w:r w:rsidR="003745F2">
        <w:rPr>
          <w:sz w:val="18"/>
          <w:szCs w:val="18"/>
          <w:lang w:val="cs-CZ"/>
        </w:rPr>
        <w:t>8.4</w:t>
      </w:r>
      <w:r w:rsidR="003020A1">
        <w:rPr>
          <w:sz w:val="18"/>
          <w:szCs w:val="18"/>
          <w:lang w:val="cs-CZ"/>
        </w:rPr>
        <w:fldChar w:fldCharType="end"/>
      </w:r>
      <w:r w:rsidR="00423515" w:rsidRPr="00FB39A6">
        <w:rPr>
          <w:sz w:val="18"/>
          <w:szCs w:val="18"/>
          <w:lang w:val="cs-CZ"/>
        </w:rPr>
        <w:t xml:space="preserve"> těchto Obchodních podmínek a Investor bezodkladně na výzvu </w:t>
      </w:r>
      <w:proofErr w:type="spellStart"/>
      <w:r w:rsidR="00423515" w:rsidRPr="00FB39A6">
        <w:rPr>
          <w:sz w:val="18"/>
          <w:szCs w:val="18"/>
          <w:lang w:val="cs-CZ"/>
        </w:rPr>
        <w:t>Bankee</w:t>
      </w:r>
      <w:proofErr w:type="spellEnd"/>
      <w:r w:rsidR="00423515" w:rsidRPr="00FB39A6">
        <w:rPr>
          <w:sz w:val="18"/>
          <w:szCs w:val="18"/>
          <w:lang w:val="cs-CZ"/>
        </w:rPr>
        <w:t xml:space="preserve"> nezajistí odpovídající nápravu či opatření k</w:t>
      </w:r>
      <w:r w:rsidR="00423515">
        <w:rPr>
          <w:sz w:val="18"/>
          <w:szCs w:val="18"/>
          <w:lang w:val="cs-CZ"/>
        </w:rPr>
        <w:t> </w:t>
      </w:r>
      <w:r w:rsidR="00423515" w:rsidRPr="00FB39A6">
        <w:rPr>
          <w:sz w:val="18"/>
          <w:szCs w:val="18"/>
          <w:lang w:val="cs-CZ"/>
        </w:rPr>
        <w:t>nápravě</w:t>
      </w:r>
      <w:r w:rsidR="00423515">
        <w:rPr>
          <w:sz w:val="18"/>
          <w:szCs w:val="18"/>
          <w:lang w:val="cs-CZ"/>
        </w:rPr>
        <w:t>; nebo</w:t>
      </w:r>
    </w:p>
    <w:p w14:paraId="66945B2B" w14:textId="460FCBD4" w:rsidR="00423515" w:rsidRPr="00A61493" w:rsidRDefault="00423515">
      <w:pPr>
        <w:pStyle w:val="Nadpis2"/>
        <w:numPr>
          <w:ilvl w:val="0"/>
          <w:numId w:val="68"/>
        </w:numPr>
        <w:ind w:hanging="294"/>
        <w:rPr>
          <w:sz w:val="18"/>
          <w:szCs w:val="18"/>
          <w:lang w:val="cs-CZ"/>
        </w:rPr>
      </w:pPr>
      <w:r w:rsidRPr="00FB39A6">
        <w:rPr>
          <w:sz w:val="18"/>
          <w:szCs w:val="18"/>
          <w:lang w:val="cs-CZ"/>
        </w:rPr>
        <w:t>Investor jiným způsobem závažně či opakovaně poruší své povinnosti vyplývající z těchto Obchodních podmínek a/nebo Rámcové smlouvy</w:t>
      </w:r>
      <w:r w:rsidRPr="00A61493">
        <w:rPr>
          <w:sz w:val="18"/>
          <w:szCs w:val="18"/>
          <w:lang w:val="cs-CZ"/>
        </w:rPr>
        <w:t>.</w:t>
      </w:r>
    </w:p>
    <w:p w14:paraId="4CF6E934" w14:textId="1B77AE9D" w:rsidR="00A61493" w:rsidRPr="00FB39A6" w:rsidRDefault="00A61493" w:rsidP="00FB39A6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proofErr w:type="spellStart"/>
      <w:r w:rsidRPr="00FB39A6">
        <w:rPr>
          <w:sz w:val="18"/>
          <w:szCs w:val="18"/>
          <w:lang w:val="cs-CZ"/>
        </w:rPr>
        <w:t>Bankee</w:t>
      </w:r>
      <w:proofErr w:type="spellEnd"/>
      <w:r w:rsidRPr="00FB39A6">
        <w:rPr>
          <w:sz w:val="18"/>
          <w:szCs w:val="18"/>
          <w:lang w:val="cs-CZ"/>
        </w:rPr>
        <w:t xml:space="preserve"> i Investor jsou</w:t>
      </w:r>
      <w:r>
        <w:rPr>
          <w:sz w:val="18"/>
          <w:szCs w:val="18"/>
          <w:lang w:val="cs-CZ"/>
        </w:rPr>
        <w:t xml:space="preserve"> oprávněni Rámcovou smlouvu vypovědět z jakéhokoli důvodu či bez uvedení důvodu, a to na základě písemné výpovědi adresované druhé smluvní straně. Výpověď dle tohoto článku Obchodních podmínek </w:t>
      </w:r>
      <w:r w:rsidR="00FB39A6">
        <w:rPr>
          <w:sz w:val="18"/>
          <w:szCs w:val="18"/>
          <w:lang w:val="cs-CZ"/>
        </w:rPr>
        <w:t>nabývá</w:t>
      </w:r>
      <w:r>
        <w:rPr>
          <w:sz w:val="18"/>
          <w:szCs w:val="18"/>
          <w:lang w:val="cs-CZ"/>
        </w:rPr>
        <w:t xml:space="preserve"> účinnosti jeden měsíc ode dne jejího doručení</w:t>
      </w:r>
      <w:r w:rsidR="00FB39A6" w:rsidRPr="00FB39A6">
        <w:rPr>
          <w:sz w:val="18"/>
          <w:szCs w:val="18"/>
          <w:lang w:val="cs-CZ"/>
        </w:rPr>
        <w:t xml:space="preserve">; </w:t>
      </w:r>
      <w:r>
        <w:rPr>
          <w:sz w:val="18"/>
          <w:szCs w:val="18"/>
          <w:lang w:val="cs-CZ"/>
        </w:rPr>
        <w:t>vlastní-li Investor Participac</w:t>
      </w:r>
      <w:r w:rsidR="00FB39A6">
        <w:rPr>
          <w:sz w:val="18"/>
          <w:szCs w:val="18"/>
          <w:lang w:val="cs-CZ"/>
        </w:rPr>
        <w:t>e</w:t>
      </w:r>
      <w:r>
        <w:rPr>
          <w:sz w:val="18"/>
          <w:szCs w:val="18"/>
          <w:lang w:val="cs-CZ"/>
        </w:rPr>
        <w:t>, prodlužuje se výpovědní doba až do úplného vypořádání těchto Participací. Během výpovědní doby není Investor oprávněn nabývat nové Participace</w:t>
      </w:r>
      <w:r w:rsidR="0071224A">
        <w:rPr>
          <w:sz w:val="18"/>
          <w:szCs w:val="18"/>
          <w:lang w:val="cs-CZ"/>
        </w:rPr>
        <w:t>, vyjma případů, kdy</w:t>
      </w:r>
      <w:r w:rsidR="0071224A" w:rsidRPr="0071224A">
        <w:rPr>
          <w:sz w:val="22"/>
          <w:szCs w:val="18"/>
          <w:lang w:val="cs-CZ"/>
        </w:rPr>
        <w:t xml:space="preserve"> </w:t>
      </w:r>
      <w:proofErr w:type="spellStart"/>
      <w:r w:rsidR="0071224A" w:rsidRPr="0071224A">
        <w:rPr>
          <w:sz w:val="18"/>
          <w:szCs w:val="18"/>
          <w:lang w:val="cs-CZ"/>
        </w:rPr>
        <w:t>Bankee</w:t>
      </w:r>
      <w:proofErr w:type="spellEnd"/>
      <w:r w:rsidR="0071224A" w:rsidRPr="0071224A">
        <w:rPr>
          <w:sz w:val="18"/>
          <w:szCs w:val="18"/>
          <w:lang w:val="cs-CZ"/>
        </w:rPr>
        <w:t xml:space="preserve"> eviduje Objednávku Investora, za kterou Investor již zaplatil </w:t>
      </w:r>
      <w:r w:rsidR="00127637">
        <w:rPr>
          <w:sz w:val="18"/>
          <w:szCs w:val="18"/>
          <w:lang w:val="cs-CZ"/>
        </w:rPr>
        <w:t xml:space="preserve">Investovanou částku </w:t>
      </w:r>
      <w:r w:rsidR="0071224A" w:rsidRPr="0071224A">
        <w:rPr>
          <w:sz w:val="18"/>
          <w:szCs w:val="18"/>
          <w:lang w:val="cs-CZ"/>
        </w:rPr>
        <w:t xml:space="preserve">a zároveň </w:t>
      </w:r>
      <w:proofErr w:type="spellStart"/>
      <w:r w:rsidR="0071224A" w:rsidRPr="0071224A">
        <w:rPr>
          <w:sz w:val="18"/>
          <w:szCs w:val="18"/>
          <w:lang w:val="cs-CZ"/>
        </w:rPr>
        <w:t>Bankee</w:t>
      </w:r>
      <w:proofErr w:type="spellEnd"/>
      <w:r w:rsidR="0071224A" w:rsidRPr="0071224A">
        <w:rPr>
          <w:sz w:val="18"/>
          <w:szCs w:val="18"/>
          <w:lang w:val="cs-CZ"/>
        </w:rPr>
        <w:t xml:space="preserve"> Objednávku neodmítla</w:t>
      </w:r>
      <w:r>
        <w:rPr>
          <w:sz w:val="18"/>
          <w:szCs w:val="18"/>
          <w:lang w:val="cs-CZ"/>
        </w:rPr>
        <w:t>.</w:t>
      </w:r>
    </w:p>
    <w:p w14:paraId="4FB0C652" w14:textId="1B784FD6" w:rsidR="00C4242B" w:rsidRDefault="007250EE" w:rsidP="00A61493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V případě smrti Investora či jeho prohlášení za mrtvého Rámcová smlouva (včetně Správy Participací na základě souvisejícího komisionářského vztahu) nadále trvá a zůstává v platnosti a účinnosti.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bezodkladně po zjištění úmrtí Investora či jeho prohlášení za mrtvého zajistí znepřístupnění Platformy, nabývání nových Participací či udílení jakýchkoli pokynů. Povinnost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nadále připisovat Plnění z participací tím není dotčena.</w:t>
      </w:r>
    </w:p>
    <w:p w14:paraId="4387502D" w14:textId="064039A6" w:rsidR="007250EE" w:rsidRPr="007250EE" w:rsidRDefault="007250EE" w:rsidP="007250EE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 w:rsidRPr="00FB39A6">
        <w:rPr>
          <w:sz w:val="18"/>
          <w:szCs w:val="18"/>
          <w:lang w:val="cs-CZ"/>
        </w:rPr>
        <w:t>Po</w:t>
      </w:r>
      <w:r>
        <w:rPr>
          <w:sz w:val="18"/>
          <w:szCs w:val="18"/>
          <w:lang w:val="cs-CZ"/>
        </w:rPr>
        <w:t xml:space="preserve"> pravomocném skončení příslušného dědického řízení po Investorovi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převede zbývající Participace na jediného dědice v souladu s příslušným usnesením. Je-li dědiců více, vyzve je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k uzavření </w:t>
      </w:r>
      <w:r w:rsidR="007A51DD">
        <w:rPr>
          <w:sz w:val="18"/>
          <w:szCs w:val="18"/>
          <w:lang w:val="cs-CZ"/>
        </w:rPr>
        <w:t>Rámcové smlouvy</w:t>
      </w:r>
      <w:r>
        <w:rPr>
          <w:sz w:val="18"/>
          <w:szCs w:val="18"/>
          <w:lang w:val="cs-CZ"/>
        </w:rPr>
        <w:t xml:space="preserve"> (spoluvlastnictví Participace je vyloučeno)</w:t>
      </w:r>
      <w:r w:rsidR="007A51DD">
        <w:rPr>
          <w:sz w:val="18"/>
          <w:szCs w:val="18"/>
          <w:lang w:val="cs-CZ"/>
        </w:rPr>
        <w:t xml:space="preserve"> a následně rozdělí Participace v poměru dle dědického usnesení. Odmítnou-li dědici uzavřít Rámcov</w:t>
      </w:r>
      <w:r w:rsidR="00FB39A6">
        <w:rPr>
          <w:sz w:val="18"/>
          <w:szCs w:val="18"/>
          <w:lang w:val="cs-CZ"/>
        </w:rPr>
        <w:t>ou</w:t>
      </w:r>
      <w:r w:rsidR="007A51DD">
        <w:rPr>
          <w:sz w:val="18"/>
          <w:szCs w:val="18"/>
          <w:lang w:val="cs-CZ"/>
        </w:rPr>
        <w:t xml:space="preserve"> smlouv</w:t>
      </w:r>
      <w:r w:rsidR="00FB39A6">
        <w:rPr>
          <w:sz w:val="18"/>
          <w:szCs w:val="18"/>
          <w:lang w:val="cs-CZ"/>
        </w:rPr>
        <w:t>u</w:t>
      </w:r>
      <w:r w:rsidR="007A51DD">
        <w:rPr>
          <w:sz w:val="18"/>
          <w:szCs w:val="18"/>
          <w:lang w:val="cs-CZ"/>
        </w:rPr>
        <w:t>, pak jim bude vyplácena poměrná část Plnění z Participace až do jejího úplného vypořádání, avšak nebudou mít přístup na Platformu.</w:t>
      </w:r>
    </w:p>
    <w:p w14:paraId="151C4BC7" w14:textId="77777777" w:rsidR="007250EE" w:rsidRPr="00FB39A6" w:rsidRDefault="007250EE" w:rsidP="00FB39A6">
      <w:pPr>
        <w:rPr>
          <w:sz w:val="18"/>
          <w:szCs w:val="14"/>
        </w:rPr>
      </w:pPr>
    </w:p>
    <w:p w14:paraId="1DD43F9C" w14:textId="6F6EA809" w:rsidR="005C11C6" w:rsidRDefault="005C11C6" w:rsidP="005C11C6">
      <w:pPr>
        <w:pStyle w:val="Nadpis1"/>
        <w:tabs>
          <w:tab w:val="clear" w:pos="709"/>
          <w:tab w:val="num" w:pos="426"/>
        </w:tabs>
        <w:spacing w:before="0" w:after="0"/>
        <w:ind w:left="426" w:hanging="426"/>
        <w:rPr>
          <w:szCs w:val="18"/>
        </w:rPr>
      </w:pPr>
      <w:bookmarkStart w:id="14" w:name="_Ref214009472"/>
      <w:r>
        <w:rPr>
          <w:szCs w:val="18"/>
        </w:rPr>
        <w:t xml:space="preserve">Změny </w:t>
      </w:r>
      <w:r w:rsidRPr="00FB39A6">
        <w:rPr>
          <w:szCs w:val="18"/>
          <w:lang w:val="cs-CZ"/>
        </w:rPr>
        <w:t>podmínek</w:t>
      </w:r>
      <w:bookmarkEnd w:id="14"/>
    </w:p>
    <w:p w14:paraId="09A5B49C" w14:textId="546A8BCB" w:rsidR="00C86E06" w:rsidRDefault="00C86E06" w:rsidP="00F37BE1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proofErr w:type="spellStart"/>
      <w:r w:rsidRPr="00FB39A6">
        <w:rPr>
          <w:sz w:val="18"/>
          <w:szCs w:val="18"/>
          <w:lang w:val="cs-CZ"/>
        </w:rPr>
        <w:t>Bankee</w:t>
      </w:r>
      <w:proofErr w:type="spellEnd"/>
      <w:r w:rsidRPr="00FB39A6">
        <w:rPr>
          <w:sz w:val="18"/>
          <w:szCs w:val="18"/>
          <w:lang w:val="cs-CZ"/>
        </w:rPr>
        <w:t xml:space="preserve"> je oprávněna kdykoliv jednostranně změnit či doplnit znění těchto Obchodních podmínek</w:t>
      </w:r>
      <w:r w:rsidR="002A261D" w:rsidRPr="00FB39A6">
        <w:rPr>
          <w:sz w:val="18"/>
          <w:szCs w:val="18"/>
          <w:lang w:val="cs-CZ"/>
        </w:rPr>
        <w:t>, Zásad ochrany osobních údajů a Sazebník</w:t>
      </w:r>
      <w:r w:rsidR="002A261D">
        <w:rPr>
          <w:sz w:val="18"/>
          <w:szCs w:val="18"/>
          <w:lang w:val="cs-CZ"/>
        </w:rPr>
        <w:t>ů</w:t>
      </w:r>
      <w:r w:rsidR="002A261D" w:rsidRPr="00FB39A6">
        <w:rPr>
          <w:sz w:val="18"/>
          <w:szCs w:val="18"/>
          <w:lang w:val="cs-CZ"/>
        </w:rPr>
        <w:t xml:space="preserve"> poplatků</w:t>
      </w:r>
      <w:r w:rsidR="002A261D">
        <w:rPr>
          <w:sz w:val="18"/>
          <w:szCs w:val="18"/>
          <w:lang w:val="cs-CZ"/>
        </w:rPr>
        <w:t>,</w:t>
      </w:r>
      <w:r w:rsidR="002A261D" w:rsidRPr="00FB39A6">
        <w:rPr>
          <w:sz w:val="18"/>
          <w:szCs w:val="18"/>
          <w:lang w:val="cs-CZ"/>
        </w:rPr>
        <w:t xml:space="preserve"> </w:t>
      </w:r>
      <w:r w:rsidR="002A261D" w:rsidRPr="002A261D">
        <w:rPr>
          <w:sz w:val="18"/>
          <w:szCs w:val="18"/>
          <w:lang w:val="cs-CZ"/>
        </w:rPr>
        <w:t xml:space="preserve">a to zejména v návaznosti na změny právních předpisů, zavádění nových služeb nebo změny </w:t>
      </w:r>
      <w:r w:rsidR="002A261D">
        <w:rPr>
          <w:sz w:val="18"/>
          <w:szCs w:val="18"/>
          <w:lang w:val="cs-CZ"/>
        </w:rPr>
        <w:t xml:space="preserve">rozsahu nebo </w:t>
      </w:r>
      <w:r w:rsidR="002A261D" w:rsidRPr="002A261D">
        <w:rPr>
          <w:sz w:val="18"/>
          <w:szCs w:val="18"/>
          <w:lang w:val="cs-CZ"/>
        </w:rPr>
        <w:t xml:space="preserve">způsobu poskytování </w:t>
      </w:r>
      <w:r w:rsidR="002A261D">
        <w:rPr>
          <w:sz w:val="18"/>
          <w:szCs w:val="18"/>
          <w:lang w:val="cs-CZ"/>
        </w:rPr>
        <w:t>s</w:t>
      </w:r>
      <w:r w:rsidR="002A261D" w:rsidRPr="002A261D">
        <w:rPr>
          <w:sz w:val="18"/>
          <w:szCs w:val="18"/>
          <w:lang w:val="cs-CZ"/>
        </w:rPr>
        <w:t>lužeb.</w:t>
      </w:r>
    </w:p>
    <w:p w14:paraId="167F1616" w14:textId="2995B333" w:rsidR="002A261D" w:rsidRDefault="002A261D" w:rsidP="002A261D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O</w:t>
      </w:r>
      <w:r w:rsidRPr="00FB39A6">
        <w:rPr>
          <w:sz w:val="18"/>
          <w:szCs w:val="18"/>
          <w:lang w:val="cs-CZ"/>
        </w:rPr>
        <w:t xml:space="preserve"> změně</w:t>
      </w:r>
      <w:r w:rsidRPr="002A261D">
        <w:rPr>
          <w:sz w:val="18"/>
          <w:szCs w:val="18"/>
          <w:lang w:val="cs-CZ"/>
        </w:rPr>
        <w:t xml:space="preserve"> </w:t>
      </w:r>
      <w:r w:rsidRPr="009C4C0D">
        <w:rPr>
          <w:sz w:val="18"/>
          <w:szCs w:val="18"/>
          <w:lang w:val="cs-CZ"/>
        </w:rPr>
        <w:t xml:space="preserve">Obchodních podmínek, Zásad ochrany osobních údajů </w:t>
      </w:r>
      <w:r>
        <w:rPr>
          <w:sz w:val="18"/>
          <w:szCs w:val="18"/>
          <w:lang w:val="cs-CZ"/>
        </w:rPr>
        <w:t xml:space="preserve">nebo </w:t>
      </w:r>
      <w:r w:rsidRPr="009C4C0D">
        <w:rPr>
          <w:sz w:val="18"/>
          <w:szCs w:val="18"/>
          <w:lang w:val="cs-CZ"/>
        </w:rPr>
        <w:t>Sazebník</w:t>
      </w:r>
      <w:r>
        <w:rPr>
          <w:sz w:val="18"/>
          <w:szCs w:val="18"/>
          <w:lang w:val="cs-CZ"/>
        </w:rPr>
        <w:t>ů</w:t>
      </w:r>
      <w:r w:rsidRPr="009C4C0D">
        <w:rPr>
          <w:sz w:val="18"/>
          <w:szCs w:val="18"/>
          <w:lang w:val="cs-CZ"/>
        </w:rPr>
        <w:t xml:space="preserve"> poplatků</w:t>
      </w:r>
      <w:r>
        <w:rPr>
          <w:sz w:val="18"/>
          <w:szCs w:val="18"/>
          <w:lang w:val="cs-CZ"/>
        </w:rPr>
        <w:t xml:space="preserve"> budou Investoři informován</w:t>
      </w:r>
      <w:r w:rsidR="00FB39A6">
        <w:rPr>
          <w:sz w:val="18"/>
          <w:szCs w:val="18"/>
          <w:lang w:val="cs-CZ"/>
        </w:rPr>
        <w:t xml:space="preserve">i </w:t>
      </w:r>
      <w:r w:rsidR="00AC4A42">
        <w:rPr>
          <w:sz w:val="18"/>
          <w:szCs w:val="18"/>
          <w:lang w:val="cs-CZ"/>
        </w:rPr>
        <w:t>alespoň jeden měsíc před nabytím jejich účinnosti</w:t>
      </w:r>
      <w:r>
        <w:rPr>
          <w:sz w:val="18"/>
          <w:szCs w:val="18"/>
          <w:lang w:val="cs-CZ"/>
        </w:rPr>
        <w:t xml:space="preserve"> prostřednictvím Platformy nebo e-mailem</w:t>
      </w:r>
      <w:r w:rsidR="00AC4A42">
        <w:rPr>
          <w:sz w:val="18"/>
          <w:szCs w:val="18"/>
          <w:lang w:val="cs-CZ"/>
        </w:rPr>
        <w:t>.</w:t>
      </w:r>
    </w:p>
    <w:p w14:paraId="4DD9F545" w14:textId="65614F9C" w:rsidR="00B22564" w:rsidRDefault="00AC4A42" w:rsidP="00B22564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 w:rsidRPr="00FB39A6">
        <w:rPr>
          <w:sz w:val="18"/>
          <w:szCs w:val="18"/>
          <w:lang w:val="cs-CZ"/>
        </w:rPr>
        <w:t>V</w:t>
      </w:r>
      <w:r w:rsidRPr="00B22564">
        <w:rPr>
          <w:sz w:val="18"/>
          <w:szCs w:val="18"/>
          <w:lang w:val="cs-CZ"/>
        </w:rPr>
        <w:t> </w:t>
      </w:r>
      <w:r w:rsidRPr="00FB39A6">
        <w:rPr>
          <w:sz w:val="18"/>
          <w:szCs w:val="18"/>
          <w:lang w:val="cs-CZ"/>
        </w:rPr>
        <w:t>případě</w:t>
      </w:r>
      <w:r w:rsidRPr="00B22564">
        <w:rPr>
          <w:sz w:val="18"/>
          <w:szCs w:val="18"/>
          <w:lang w:val="cs-CZ"/>
        </w:rPr>
        <w:t>, že Investor</w:t>
      </w:r>
      <w:r w:rsidRPr="00FB39A6">
        <w:rPr>
          <w:sz w:val="18"/>
          <w:szCs w:val="18"/>
          <w:lang w:val="cs-CZ"/>
        </w:rPr>
        <w:t xml:space="preserve"> nesouhlas</w:t>
      </w:r>
      <w:r w:rsidRPr="00B22564">
        <w:rPr>
          <w:sz w:val="18"/>
          <w:szCs w:val="18"/>
          <w:lang w:val="cs-CZ"/>
        </w:rPr>
        <w:t>í</w:t>
      </w:r>
      <w:r w:rsidRPr="00FB39A6">
        <w:rPr>
          <w:sz w:val="18"/>
          <w:szCs w:val="18"/>
          <w:lang w:val="cs-CZ"/>
        </w:rPr>
        <w:t xml:space="preserve"> se změnami </w:t>
      </w:r>
      <w:r w:rsidRPr="00B22564">
        <w:rPr>
          <w:sz w:val="18"/>
          <w:szCs w:val="18"/>
          <w:lang w:val="cs-CZ"/>
        </w:rPr>
        <w:t>Obchodních podmínek, Zásad ochrany osobních údajů nebo Sazebníků poplatků, je oprávněn tyto změny nejpozději v den předcházejí</w:t>
      </w:r>
      <w:r w:rsidR="00FB39A6">
        <w:rPr>
          <w:sz w:val="18"/>
          <w:szCs w:val="18"/>
          <w:lang w:val="cs-CZ"/>
        </w:rPr>
        <w:t>cí</w:t>
      </w:r>
      <w:r w:rsidRPr="00B22564">
        <w:rPr>
          <w:sz w:val="18"/>
          <w:szCs w:val="18"/>
          <w:lang w:val="cs-CZ"/>
        </w:rPr>
        <w:t xml:space="preserve"> nabytí jejich účinnosti písemně nebo e-mailem odmítnout a Rámcovou smlouvu z tohoto důvodu vypovědět.</w:t>
      </w:r>
      <w:r w:rsidR="00BA70F6" w:rsidRPr="00B22564">
        <w:rPr>
          <w:sz w:val="18"/>
          <w:szCs w:val="18"/>
          <w:lang w:val="cs-CZ"/>
        </w:rPr>
        <w:t xml:space="preserve"> Pokud tak Investor neučiní, platí, že se změnami a novým zněním souhlasí a přijímá je.</w:t>
      </w:r>
    </w:p>
    <w:p w14:paraId="3614F4C9" w14:textId="77777777" w:rsidR="00B22564" w:rsidRPr="00FB39A6" w:rsidRDefault="00B22564">
      <w:pPr>
        <w:spacing w:before="0" w:after="0"/>
        <w:rPr>
          <w:sz w:val="18"/>
          <w:szCs w:val="18"/>
        </w:rPr>
      </w:pPr>
    </w:p>
    <w:p w14:paraId="2FDF3206" w14:textId="27C1E250" w:rsidR="00B22564" w:rsidRDefault="00B22564" w:rsidP="00B22564">
      <w:pPr>
        <w:pStyle w:val="Nadpis1"/>
        <w:tabs>
          <w:tab w:val="clear" w:pos="709"/>
          <w:tab w:val="num" w:pos="426"/>
        </w:tabs>
        <w:spacing w:before="0" w:after="0"/>
        <w:ind w:left="426" w:hanging="426"/>
      </w:pPr>
      <w:r>
        <w:t>Reklamace a stížnosti</w:t>
      </w:r>
    </w:p>
    <w:p w14:paraId="654811DB" w14:textId="62F60860" w:rsidR="00B22564" w:rsidRDefault="002A2827" w:rsidP="00B22564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 w:rsidRPr="00FB39A6">
        <w:rPr>
          <w:sz w:val="18"/>
          <w:szCs w:val="18"/>
          <w:lang w:val="cs-CZ"/>
        </w:rPr>
        <w:t xml:space="preserve">Investor je oprávněn v případě podezření </w:t>
      </w:r>
      <w:r>
        <w:rPr>
          <w:sz w:val="18"/>
          <w:szCs w:val="18"/>
          <w:lang w:val="cs-CZ"/>
        </w:rPr>
        <w:t xml:space="preserve">na porušení těchto Obchodních podmínek či Rámcové smlouvy ze strany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uplatnit reklamaci. Reklamace musí být podána bezodkladně po domnělém porušení a Investor je povinen zdržet se dalších kroků (pokynů, nákupů apod.) souvisejících s předmětem </w:t>
      </w:r>
      <w:r>
        <w:rPr>
          <w:sz w:val="18"/>
          <w:szCs w:val="18"/>
          <w:lang w:val="cs-CZ"/>
        </w:rPr>
        <w:lastRenderedPageBreak/>
        <w:t xml:space="preserve">reklamace. Reklamace bude řešena pověřeným pracovníkem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za přímého dohledu vedoucího pracovníka. Investor je povinen poskytnout veškerou součinnost, zejména tvrdit a prokázat rozhodné skutečnosti a doložit veškeré související dokumenty. Reklamaci lze podat jak prostřednictvím e-mailu, tak prostřednictvím interní schránky v rámci Platformy.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reklamaci vyřídí nejpozději do 30 dnů, ve zvlášť složitých případech 60 dnů ode dne jejího podání a zašle Investorovi písemné vyjádření ohledně jejího vyřízení.</w:t>
      </w:r>
    </w:p>
    <w:p w14:paraId="4D1698BB" w14:textId="42333A4E" w:rsidR="002A2827" w:rsidRPr="00FB39A6" w:rsidRDefault="002A2827" w:rsidP="002A2827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Investor</w:t>
      </w:r>
      <w:r w:rsidRPr="00FB39A6">
        <w:rPr>
          <w:sz w:val="18"/>
          <w:szCs w:val="18"/>
          <w:lang w:val="cs-CZ"/>
        </w:rPr>
        <w:t xml:space="preserve">, který je spotřebitelem ve smyslu Občanského zákoníku a zákona č. 634/1992 Sb., o ochraně spotřebitele, má právo na mimosoudní řešení případných sporů mezi </w:t>
      </w:r>
      <w:r>
        <w:rPr>
          <w:sz w:val="18"/>
          <w:szCs w:val="18"/>
          <w:lang w:val="cs-CZ"/>
        </w:rPr>
        <w:t xml:space="preserve">Investorem a </w:t>
      </w:r>
      <w:proofErr w:type="spellStart"/>
      <w:r>
        <w:rPr>
          <w:sz w:val="18"/>
          <w:szCs w:val="18"/>
          <w:lang w:val="cs-CZ"/>
        </w:rPr>
        <w:t>Bankee</w:t>
      </w:r>
      <w:proofErr w:type="spellEnd"/>
      <w:r>
        <w:rPr>
          <w:sz w:val="18"/>
          <w:szCs w:val="18"/>
          <w:lang w:val="cs-CZ"/>
        </w:rPr>
        <w:t xml:space="preserve"> ve smyslu tohoto zákona</w:t>
      </w:r>
      <w:r w:rsidRPr="00FB39A6">
        <w:rPr>
          <w:sz w:val="18"/>
          <w:szCs w:val="18"/>
          <w:lang w:val="cs-CZ"/>
        </w:rPr>
        <w:t xml:space="preserve">. Příslušným orgánem k mimosoudnímu řešení spotřebitelských sporů je Česká </w:t>
      </w:r>
      <w:r w:rsidRPr="00FB39A6">
        <w:rPr>
          <w:sz w:val="18"/>
          <w:szCs w:val="18"/>
          <w:lang w:val="cs-CZ"/>
        </w:rPr>
        <w:t xml:space="preserve">obchodní inspekce, Ústřední inspektorát – oddělení ADR, Gorazdova 1969/24, 120 00 Praha 2, e-mail: </w:t>
      </w:r>
      <w:hyperlink r:id="rId10" w:history="1">
        <w:r w:rsidR="00FB39A6" w:rsidRPr="006432A3">
          <w:rPr>
            <w:rStyle w:val="Hypertextovodkaz"/>
            <w:sz w:val="18"/>
            <w:szCs w:val="18"/>
            <w:lang w:val="cs-CZ"/>
          </w:rPr>
          <w:t>adr@coi.cz</w:t>
        </w:r>
      </w:hyperlink>
      <w:r w:rsidRPr="00FB39A6">
        <w:rPr>
          <w:sz w:val="18"/>
          <w:szCs w:val="18"/>
          <w:lang w:val="cs-CZ"/>
        </w:rPr>
        <w:t xml:space="preserve">, internetové stránky: </w:t>
      </w:r>
      <w:hyperlink r:id="rId11" w:history="1">
        <w:r w:rsidR="00FB39A6" w:rsidRPr="006432A3">
          <w:rPr>
            <w:rStyle w:val="Hypertextovodkaz"/>
            <w:sz w:val="18"/>
            <w:szCs w:val="18"/>
            <w:lang w:val="cs-CZ"/>
          </w:rPr>
          <w:t>www.adr.coi.cz</w:t>
        </w:r>
      </w:hyperlink>
      <w:r w:rsidR="00FB39A6">
        <w:rPr>
          <w:sz w:val="18"/>
          <w:szCs w:val="18"/>
          <w:lang w:val="cs-CZ"/>
        </w:rPr>
        <w:t>.</w:t>
      </w:r>
      <w:r w:rsidRPr="00FB39A6">
        <w:rPr>
          <w:sz w:val="18"/>
          <w:szCs w:val="18"/>
          <w:lang w:val="cs-CZ"/>
        </w:rPr>
        <w:t xml:space="preserve"> Na tento orgán se lze rovněž obrátit s</w:t>
      </w:r>
      <w:r>
        <w:rPr>
          <w:sz w:val="18"/>
          <w:szCs w:val="18"/>
          <w:lang w:val="cs-CZ"/>
        </w:rPr>
        <w:t> případnou</w:t>
      </w:r>
      <w:r w:rsidRPr="00FB39A6">
        <w:rPr>
          <w:sz w:val="18"/>
          <w:szCs w:val="18"/>
          <w:lang w:val="cs-CZ"/>
        </w:rPr>
        <w:t xml:space="preserve"> stížností</w:t>
      </w:r>
      <w:r>
        <w:rPr>
          <w:sz w:val="18"/>
          <w:szCs w:val="18"/>
          <w:lang w:val="cs-CZ"/>
        </w:rPr>
        <w:t>.</w:t>
      </w:r>
    </w:p>
    <w:p w14:paraId="7BE91519" w14:textId="77777777" w:rsidR="00B22564" w:rsidRPr="00FB39A6" w:rsidRDefault="00B22564" w:rsidP="00FB39A6">
      <w:pPr>
        <w:spacing w:before="0" w:after="0"/>
        <w:rPr>
          <w:sz w:val="18"/>
          <w:szCs w:val="18"/>
        </w:rPr>
      </w:pPr>
    </w:p>
    <w:p w14:paraId="5058AA4D" w14:textId="063E73A5" w:rsidR="00AD54E7" w:rsidRPr="00765E8C" w:rsidRDefault="00AD54E7" w:rsidP="00737A6B">
      <w:pPr>
        <w:pStyle w:val="Nadpis1"/>
        <w:tabs>
          <w:tab w:val="clear" w:pos="709"/>
          <w:tab w:val="num" w:pos="426"/>
        </w:tabs>
        <w:spacing w:before="0" w:after="0"/>
        <w:ind w:left="426" w:hanging="426"/>
        <w:rPr>
          <w:szCs w:val="18"/>
          <w:lang w:val="cs-CZ"/>
        </w:rPr>
      </w:pPr>
      <w:r w:rsidRPr="00765E8C">
        <w:rPr>
          <w:szCs w:val="18"/>
          <w:lang w:val="cs-CZ"/>
        </w:rPr>
        <w:t>Řešení sporů</w:t>
      </w:r>
      <w:r w:rsidR="00260612">
        <w:rPr>
          <w:szCs w:val="18"/>
          <w:lang w:val="cs-CZ"/>
        </w:rPr>
        <w:t>, ROZHODNÉ PRÁVO a účinnost</w:t>
      </w:r>
    </w:p>
    <w:p w14:paraId="748A2C8D" w14:textId="1A033D4F" w:rsidR="00515C89" w:rsidRPr="00765E8C" w:rsidRDefault="00AD54E7" w:rsidP="00737A6B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 w:rsidRPr="00765E8C">
        <w:rPr>
          <w:sz w:val="18"/>
          <w:szCs w:val="18"/>
          <w:lang w:val="cs-CZ"/>
        </w:rPr>
        <w:t xml:space="preserve">Všechny spory vznikající z </w:t>
      </w:r>
      <w:r w:rsidR="00CD1ACC">
        <w:rPr>
          <w:sz w:val="18"/>
          <w:szCs w:val="18"/>
          <w:lang w:val="cs-CZ"/>
        </w:rPr>
        <w:t>Participací</w:t>
      </w:r>
      <w:r w:rsidRPr="00765E8C">
        <w:rPr>
          <w:sz w:val="18"/>
          <w:szCs w:val="18"/>
          <w:lang w:val="cs-CZ"/>
        </w:rPr>
        <w:t xml:space="preserve"> a v souvislosti s nimi </w:t>
      </w:r>
      <w:bookmarkStart w:id="15" w:name="_Hlk213672234"/>
      <w:r w:rsidRPr="00765E8C">
        <w:rPr>
          <w:sz w:val="18"/>
          <w:szCs w:val="18"/>
          <w:lang w:val="cs-CZ"/>
        </w:rPr>
        <w:t>budou rozhodovány s konečnou platností u</w:t>
      </w:r>
      <w:r w:rsidR="00CD1ACC">
        <w:rPr>
          <w:sz w:val="18"/>
          <w:szCs w:val="18"/>
          <w:lang w:val="cs-CZ"/>
        </w:rPr>
        <w:t xml:space="preserve"> věcně a místně</w:t>
      </w:r>
      <w:r w:rsidRPr="00765E8C">
        <w:rPr>
          <w:sz w:val="18"/>
          <w:szCs w:val="18"/>
          <w:lang w:val="cs-CZ"/>
        </w:rPr>
        <w:t xml:space="preserve"> </w:t>
      </w:r>
      <w:r w:rsidR="007122D4" w:rsidRPr="00765E8C">
        <w:rPr>
          <w:sz w:val="18"/>
          <w:szCs w:val="18"/>
          <w:lang w:val="cs-CZ"/>
        </w:rPr>
        <w:t>příslušného soudu České republiky</w:t>
      </w:r>
      <w:r w:rsidRPr="00765E8C">
        <w:rPr>
          <w:sz w:val="18"/>
          <w:szCs w:val="18"/>
          <w:lang w:val="cs-CZ"/>
        </w:rPr>
        <w:t>.</w:t>
      </w:r>
      <w:bookmarkEnd w:id="15"/>
    </w:p>
    <w:p w14:paraId="50E27497" w14:textId="59726FC3" w:rsidR="00AD54E7" w:rsidRDefault="00756CFE" w:rsidP="00737A6B">
      <w:pPr>
        <w:pStyle w:val="Nadpis2"/>
        <w:tabs>
          <w:tab w:val="clear" w:pos="709"/>
          <w:tab w:val="num" w:pos="426"/>
        </w:tabs>
        <w:spacing w:after="0"/>
        <w:ind w:left="426" w:hanging="426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Tyto </w:t>
      </w:r>
      <w:r w:rsidRPr="00127637">
        <w:rPr>
          <w:sz w:val="18"/>
          <w:szCs w:val="18"/>
          <w:lang w:val="cs-CZ"/>
        </w:rPr>
        <w:t>O</w:t>
      </w:r>
      <w:r w:rsidR="00AD54E7" w:rsidRPr="00127637">
        <w:rPr>
          <w:sz w:val="18"/>
          <w:szCs w:val="18"/>
          <w:lang w:val="cs-CZ"/>
        </w:rPr>
        <w:t xml:space="preserve">bchodní podmínky nabývají platnosti a účinnosti dne </w:t>
      </w:r>
      <w:r w:rsidR="00CD31C4" w:rsidRPr="00127637">
        <w:rPr>
          <w:sz w:val="18"/>
          <w:szCs w:val="18"/>
          <w:lang w:val="cs-CZ"/>
        </w:rPr>
        <w:t>1</w:t>
      </w:r>
      <w:r w:rsidR="00127637" w:rsidRPr="00127637">
        <w:rPr>
          <w:sz w:val="18"/>
          <w:szCs w:val="18"/>
          <w:lang w:val="cs-CZ"/>
        </w:rPr>
        <w:t>5</w:t>
      </w:r>
      <w:r w:rsidR="00CD31C4" w:rsidRPr="00127637">
        <w:rPr>
          <w:sz w:val="18"/>
          <w:szCs w:val="18"/>
          <w:lang w:val="cs-CZ"/>
        </w:rPr>
        <w:t>.</w:t>
      </w:r>
      <w:r w:rsidR="00127637" w:rsidRPr="00127637">
        <w:rPr>
          <w:sz w:val="18"/>
          <w:szCs w:val="18"/>
          <w:lang w:val="cs-CZ"/>
        </w:rPr>
        <w:t>2</w:t>
      </w:r>
      <w:r w:rsidR="00CD31C4" w:rsidRPr="00127637">
        <w:rPr>
          <w:sz w:val="18"/>
          <w:szCs w:val="18"/>
          <w:lang w:val="cs-CZ"/>
        </w:rPr>
        <w:t>.202</w:t>
      </w:r>
      <w:r w:rsidR="007114A4" w:rsidRPr="00127637">
        <w:rPr>
          <w:sz w:val="18"/>
          <w:szCs w:val="18"/>
          <w:lang w:val="cs-CZ"/>
        </w:rPr>
        <w:t>6</w:t>
      </w:r>
      <w:r w:rsidRPr="00127637">
        <w:rPr>
          <w:sz w:val="18"/>
          <w:szCs w:val="18"/>
          <w:lang w:val="cs-CZ"/>
        </w:rPr>
        <w:t xml:space="preserve"> a mohou</w:t>
      </w:r>
      <w:r>
        <w:rPr>
          <w:sz w:val="18"/>
          <w:szCs w:val="18"/>
          <w:lang w:val="cs-CZ"/>
        </w:rPr>
        <w:t xml:space="preserve"> být kdykoli jednostranně změněny</w:t>
      </w:r>
      <w:r w:rsidR="00FB39A6" w:rsidRPr="00FB39A6">
        <w:rPr>
          <w:sz w:val="18"/>
          <w:szCs w:val="18"/>
          <w:lang w:val="cs-CZ"/>
        </w:rPr>
        <w:t xml:space="preserve"> </w:t>
      </w:r>
      <w:r w:rsidR="00FB39A6">
        <w:rPr>
          <w:sz w:val="18"/>
          <w:szCs w:val="18"/>
          <w:lang w:val="cs-CZ"/>
        </w:rPr>
        <w:t>v </w:t>
      </w:r>
      <w:r w:rsidR="0017430F">
        <w:rPr>
          <w:sz w:val="18"/>
          <w:szCs w:val="18"/>
          <w:lang w:val="cs-CZ"/>
        </w:rPr>
        <w:t xml:space="preserve">souladu s čl. </w:t>
      </w:r>
      <w:r w:rsidR="003020A1">
        <w:rPr>
          <w:sz w:val="18"/>
          <w:szCs w:val="18"/>
          <w:lang w:val="cs-CZ"/>
        </w:rPr>
        <w:fldChar w:fldCharType="begin"/>
      </w:r>
      <w:r w:rsidR="003020A1">
        <w:rPr>
          <w:sz w:val="18"/>
          <w:szCs w:val="18"/>
          <w:lang w:val="cs-CZ"/>
        </w:rPr>
        <w:instrText xml:space="preserve"> REF _Ref214009472 \r \h </w:instrText>
      </w:r>
      <w:r w:rsidR="003020A1">
        <w:rPr>
          <w:sz w:val="18"/>
          <w:szCs w:val="18"/>
          <w:lang w:val="cs-CZ"/>
        </w:rPr>
      </w:r>
      <w:r w:rsidR="003020A1">
        <w:rPr>
          <w:sz w:val="18"/>
          <w:szCs w:val="18"/>
          <w:lang w:val="cs-CZ"/>
        </w:rPr>
        <w:fldChar w:fldCharType="separate"/>
      </w:r>
      <w:r w:rsidR="003745F2">
        <w:rPr>
          <w:sz w:val="18"/>
          <w:szCs w:val="18"/>
          <w:lang w:val="cs-CZ"/>
        </w:rPr>
        <w:t>12</w:t>
      </w:r>
      <w:r w:rsidR="003020A1">
        <w:rPr>
          <w:sz w:val="18"/>
          <w:szCs w:val="18"/>
          <w:lang w:val="cs-CZ"/>
        </w:rPr>
        <w:fldChar w:fldCharType="end"/>
      </w:r>
      <w:r w:rsidR="0017430F">
        <w:rPr>
          <w:sz w:val="18"/>
          <w:szCs w:val="18"/>
          <w:lang w:val="cs-CZ"/>
        </w:rPr>
        <w:t xml:space="preserve"> těchto Obchodních podmínek</w:t>
      </w:r>
      <w:r>
        <w:rPr>
          <w:sz w:val="18"/>
          <w:szCs w:val="18"/>
          <w:lang w:val="cs-CZ"/>
        </w:rPr>
        <w:t>.</w:t>
      </w:r>
    </w:p>
    <w:p w14:paraId="70149EAA" w14:textId="77777777" w:rsidR="00285EC6" w:rsidRPr="00285EC6" w:rsidRDefault="00285EC6" w:rsidP="00285EC6">
      <w:pPr>
        <w:ind w:left="708"/>
      </w:pPr>
    </w:p>
    <w:p w14:paraId="6217C6C8" w14:textId="77777777" w:rsidR="00285EC6" w:rsidRPr="00285EC6" w:rsidRDefault="00285EC6" w:rsidP="00285EC6">
      <w:pPr>
        <w:pStyle w:val="Nadpis2"/>
        <w:rPr>
          <w:lang w:val="cs-CZ"/>
        </w:rPr>
        <w:sectPr w:rsidR="00285EC6" w:rsidRPr="00285EC6">
          <w:type w:val="continuous"/>
          <w:pgSz w:w="11906" w:h="16838"/>
          <w:pgMar w:top="1417" w:right="707" w:bottom="1417" w:left="709" w:header="708" w:footer="772" w:gutter="0"/>
          <w:cols w:num="2" w:sep="1" w:space="428"/>
          <w:docGrid w:linePitch="360"/>
        </w:sectPr>
      </w:pPr>
    </w:p>
    <w:p w14:paraId="4531DD91" w14:textId="77777777" w:rsidR="00F74A17" w:rsidRPr="00BD6180" w:rsidRDefault="00F74A17" w:rsidP="00285EC6">
      <w:pPr>
        <w:pStyle w:val="Nadpis1"/>
        <w:numPr>
          <w:ilvl w:val="0"/>
          <w:numId w:val="0"/>
        </w:numPr>
        <w:ind w:left="709"/>
        <w:rPr>
          <w:szCs w:val="18"/>
          <w:lang w:val="cs-CZ"/>
        </w:rPr>
      </w:pPr>
    </w:p>
    <w:sectPr w:rsidR="00F74A17" w:rsidRPr="00BD6180" w:rsidSect="0001737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1D061" w14:textId="77777777" w:rsidR="00D82A5A" w:rsidRDefault="00D82A5A" w:rsidP="00613DB5">
      <w:pPr>
        <w:spacing w:after="0" w:line="240" w:lineRule="auto"/>
      </w:pPr>
      <w:r>
        <w:separator/>
      </w:r>
    </w:p>
  </w:endnote>
  <w:endnote w:type="continuationSeparator" w:id="0">
    <w:p w14:paraId="6E7D34E7" w14:textId="77777777" w:rsidR="00D82A5A" w:rsidRDefault="00D82A5A" w:rsidP="0061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417289"/>
      <w:docPartObj>
        <w:docPartGallery w:val="Page Numbers (Bottom of Page)"/>
        <w:docPartUnique/>
      </w:docPartObj>
    </w:sdtPr>
    <w:sdtEndPr/>
    <w:sdtContent>
      <w:p w14:paraId="1AB40543" w14:textId="77777777" w:rsidR="00285EC6" w:rsidRDefault="00285EC6" w:rsidP="00895FCF">
        <w:pPr>
          <w:pStyle w:val="Zpat"/>
          <w:jc w:val="center"/>
        </w:pPr>
      </w:p>
      <w:p w14:paraId="073AA4A0" w14:textId="77777777" w:rsidR="00285EC6" w:rsidRDefault="000507C5" w:rsidP="00895FCF">
        <w:pPr>
          <w:pStyle w:val="Zpat"/>
          <w:jc w:val="center"/>
        </w:pPr>
        <w:r>
          <w:rPr>
            <w:rStyle w:val="slostrnky"/>
          </w:rPr>
          <w:fldChar w:fldCharType="begin"/>
        </w:r>
        <w:r w:rsidR="00285EC6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E1205E">
          <w:rPr>
            <w:rStyle w:val="slostrnky"/>
            <w:noProof/>
          </w:rPr>
          <w:t>3</w:t>
        </w:r>
        <w:r>
          <w:rPr>
            <w:rStyle w:val="slostrnky"/>
          </w:rPr>
          <w:fldChar w:fldCharType="end"/>
        </w:r>
        <w:r w:rsidR="00285EC6">
          <w:rPr>
            <w:rStyle w:val="slostrnky"/>
          </w:rPr>
          <w:t>/</w:t>
        </w:r>
        <w:r>
          <w:rPr>
            <w:rStyle w:val="slostrnky"/>
          </w:rPr>
          <w:fldChar w:fldCharType="begin"/>
        </w:r>
        <w:r w:rsidR="00285EC6">
          <w:rPr>
            <w:rStyle w:val="slostrnky"/>
          </w:rPr>
          <w:instrText xml:space="preserve"> NUMPAGES </w:instrText>
        </w:r>
        <w:r>
          <w:rPr>
            <w:rStyle w:val="slostrnky"/>
          </w:rPr>
          <w:fldChar w:fldCharType="separate"/>
        </w:r>
        <w:r w:rsidR="00E1205E">
          <w:rPr>
            <w:rStyle w:val="slostrnky"/>
            <w:noProof/>
          </w:rPr>
          <w:t>3</w:t>
        </w:r>
        <w:r>
          <w:rPr>
            <w:rStyle w:val="slostrnk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A139" w14:textId="77777777" w:rsidR="00D82A5A" w:rsidRDefault="00D82A5A" w:rsidP="00613DB5">
      <w:pPr>
        <w:spacing w:after="0" w:line="240" w:lineRule="auto"/>
      </w:pPr>
      <w:r>
        <w:separator/>
      </w:r>
    </w:p>
  </w:footnote>
  <w:footnote w:type="continuationSeparator" w:id="0">
    <w:p w14:paraId="3C34B31B" w14:textId="77777777" w:rsidR="00D82A5A" w:rsidRDefault="00D82A5A" w:rsidP="00613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B24E" w14:textId="36553DAA" w:rsidR="00285EC6" w:rsidRPr="009D31AD" w:rsidRDefault="009D31AD" w:rsidP="00613DB5">
    <w:pPr>
      <w:pStyle w:val="Zhlav"/>
      <w:jc w:val="right"/>
      <w:rPr>
        <w:i/>
        <w:sz w:val="18"/>
        <w:szCs w:val="18"/>
      </w:rPr>
    </w:pPr>
    <w:r>
      <w:rPr>
        <w:i/>
        <w:sz w:val="18"/>
        <w:szCs w:val="18"/>
      </w:rPr>
      <w:t>znění</w:t>
    </w:r>
    <w:r w:rsidRPr="009D31AD">
      <w:rPr>
        <w:i/>
        <w:sz w:val="18"/>
        <w:szCs w:val="18"/>
      </w:rPr>
      <w:t xml:space="preserve"> </w:t>
    </w:r>
    <w:r w:rsidRPr="00127637">
      <w:rPr>
        <w:i/>
        <w:sz w:val="18"/>
        <w:szCs w:val="18"/>
      </w:rPr>
      <w:t xml:space="preserve">účinné od </w:t>
    </w:r>
    <w:r w:rsidR="00127637">
      <w:rPr>
        <w:i/>
        <w:sz w:val="18"/>
        <w:szCs w:val="18"/>
      </w:rPr>
      <w:t>15.2.2026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61679"/>
    <w:multiLevelType w:val="hybridMultilevel"/>
    <w:tmpl w:val="3FF86558"/>
    <w:lvl w:ilvl="0" w:tplc="43741896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57148"/>
    <w:multiLevelType w:val="hybridMultilevel"/>
    <w:tmpl w:val="3FF86558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853CC"/>
    <w:multiLevelType w:val="multilevel"/>
    <w:tmpl w:val="E9C6D6C4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ascii="Calibri" w:hAnsi="Calibri" w:cs="Times New Roman Bold" w:hint="default"/>
        <w:b/>
        <w:bCs/>
        <w:i w:val="0"/>
        <w:iCs w:val="0"/>
        <w:caps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5">
      <w:start w:val="1"/>
      <w:numFmt w:val="none"/>
      <w:pStyle w:val="Nadpis6"/>
      <w:lvlText w:val=""/>
      <w:lvlJc w:val="center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6">
      <w:start w:val="1"/>
      <w:numFmt w:val="none"/>
      <w:pStyle w:val="Nadpis7"/>
      <w:lvlText w:val=""/>
      <w:lvlJc w:val="left"/>
      <w:pPr>
        <w:tabs>
          <w:tab w:val="num" w:pos="4680"/>
        </w:tabs>
        <w:ind w:left="4320"/>
      </w:pPr>
      <w:rPr>
        <w:rFonts w:cs="Times New Roman" w:hint="default"/>
        <w:color w:val="0000FF"/>
        <w:spacing w:val="0"/>
        <w:u w:val="double"/>
      </w:rPr>
    </w:lvl>
    <w:lvl w:ilvl="7">
      <w:start w:val="1"/>
      <w:numFmt w:val="none"/>
      <w:pStyle w:val="Nadpis8"/>
      <w:lvlText w:val=""/>
      <w:lvlJc w:val="left"/>
      <w:pPr>
        <w:tabs>
          <w:tab w:val="num" w:pos="5400"/>
        </w:tabs>
        <w:ind w:left="5040"/>
      </w:pPr>
      <w:rPr>
        <w:rFonts w:cs="Times New Roman" w:hint="default"/>
        <w:color w:val="0000FF"/>
        <w:spacing w:val="0"/>
        <w:u w:val="double"/>
      </w:rPr>
    </w:lvl>
    <w:lvl w:ilvl="8">
      <w:start w:val="1"/>
      <w:numFmt w:val="none"/>
      <w:pStyle w:val="Nadpis9"/>
      <w:lvlText w:val=""/>
      <w:lvlJc w:val="left"/>
      <w:pPr>
        <w:tabs>
          <w:tab w:val="num" w:pos="6120"/>
        </w:tabs>
        <w:ind w:left="5760"/>
      </w:pPr>
      <w:rPr>
        <w:rFonts w:cs="Times New Roman" w:hint="default"/>
        <w:color w:val="0000FF"/>
        <w:spacing w:val="0"/>
        <w:u w:val="double"/>
      </w:rPr>
    </w:lvl>
  </w:abstractNum>
  <w:abstractNum w:abstractNumId="3" w15:restartNumberingAfterBreak="0">
    <w:nsid w:val="68FE36E3"/>
    <w:multiLevelType w:val="hybridMultilevel"/>
    <w:tmpl w:val="3FF86558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471AA"/>
    <w:multiLevelType w:val="hybridMultilevel"/>
    <w:tmpl w:val="3FF86558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251734">
    <w:abstractNumId w:val="2"/>
  </w:num>
  <w:num w:numId="2" w16cid:durableId="1961565246">
    <w:abstractNumId w:val="0"/>
  </w:num>
  <w:num w:numId="3" w16cid:durableId="1273978423">
    <w:abstractNumId w:val="2"/>
  </w:num>
  <w:num w:numId="4" w16cid:durableId="369303207">
    <w:abstractNumId w:val="2"/>
  </w:num>
  <w:num w:numId="5" w16cid:durableId="286817984">
    <w:abstractNumId w:val="2"/>
  </w:num>
  <w:num w:numId="6" w16cid:durableId="1670865301">
    <w:abstractNumId w:val="2"/>
  </w:num>
  <w:num w:numId="7" w16cid:durableId="1640454313">
    <w:abstractNumId w:val="2"/>
  </w:num>
  <w:num w:numId="8" w16cid:durableId="1550722493">
    <w:abstractNumId w:val="2"/>
  </w:num>
  <w:num w:numId="9" w16cid:durableId="2147308920">
    <w:abstractNumId w:val="2"/>
  </w:num>
  <w:num w:numId="10" w16cid:durableId="1598321009">
    <w:abstractNumId w:val="3"/>
  </w:num>
  <w:num w:numId="11" w16cid:durableId="998995530">
    <w:abstractNumId w:val="2"/>
  </w:num>
  <w:num w:numId="12" w16cid:durableId="144587773">
    <w:abstractNumId w:val="2"/>
  </w:num>
  <w:num w:numId="13" w16cid:durableId="1660888100">
    <w:abstractNumId w:val="2"/>
  </w:num>
  <w:num w:numId="14" w16cid:durableId="1435711993">
    <w:abstractNumId w:val="2"/>
  </w:num>
  <w:num w:numId="15" w16cid:durableId="709765804">
    <w:abstractNumId w:val="2"/>
  </w:num>
  <w:num w:numId="16" w16cid:durableId="1025323950">
    <w:abstractNumId w:val="2"/>
  </w:num>
  <w:num w:numId="17" w16cid:durableId="2072540263">
    <w:abstractNumId w:val="2"/>
  </w:num>
  <w:num w:numId="18" w16cid:durableId="2062899771">
    <w:abstractNumId w:val="2"/>
  </w:num>
  <w:num w:numId="19" w16cid:durableId="1222591647">
    <w:abstractNumId w:val="2"/>
  </w:num>
  <w:num w:numId="20" w16cid:durableId="345138445">
    <w:abstractNumId w:val="2"/>
  </w:num>
  <w:num w:numId="21" w16cid:durableId="669408078">
    <w:abstractNumId w:val="2"/>
  </w:num>
  <w:num w:numId="22" w16cid:durableId="948708214">
    <w:abstractNumId w:val="2"/>
  </w:num>
  <w:num w:numId="23" w16cid:durableId="135610892">
    <w:abstractNumId w:val="2"/>
  </w:num>
  <w:num w:numId="24" w16cid:durableId="1720662323">
    <w:abstractNumId w:val="2"/>
  </w:num>
  <w:num w:numId="25" w16cid:durableId="28453584">
    <w:abstractNumId w:val="2"/>
  </w:num>
  <w:num w:numId="26" w16cid:durableId="1633747986">
    <w:abstractNumId w:val="2"/>
  </w:num>
  <w:num w:numId="27" w16cid:durableId="746193188">
    <w:abstractNumId w:val="2"/>
  </w:num>
  <w:num w:numId="28" w16cid:durableId="1861115923">
    <w:abstractNumId w:val="2"/>
  </w:num>
  <w:num w:numId="29" w16cid:durableId="1893807778">
    <w:abstractNumId w:val="2"/>
  </w:num>
  <w:num w:numId="30" w16cid:durableId="1697849240">
    <w:abstractNumId w:val="4"/>
  </w:num>
  <w:num w:numId="31" w16cid:durableId="458182646">
    <w:abstractNumId w:val="2"/>
  </w:num>
  <w:num w:numId="32" w16cid:durableId="58288597">
    <w:abstractNumId w:val="2"/>
  </w:num>
  <w:num w:numId="33" w16cid:durableId="678770812">
    <w:abstractNumId w:val="2"/>
  </w:num>
  <w:num w:numId="34" w16cid:durableId="1360199879">
    <w:abstractNumId w:val="2"/>
  </w:num>
  <w:num w:numId="35" w16cid:durableId="1115295757">
    <w:abstractNumId w:val="2"/>
  </w:num>
  <w:num w:numId="36" w16cid:durableId="636228690">
    <w:abstractNumId w:val="2"/>
  </w:num>
  <w:num w:numId="37" w16cid:durableId="761492248">
    <w:abstractNumId w:val="2"/>
  </w:num>
  <w:num w:numId="38" w16cid:durableId="305087414">
    <w:abstractNumId w:val="2"/>
  </w:num>
  <w:num w:numId="39" w16cid:durableId="244921589">
    <w:abstractNumId w:val="2"/>
  </w:num>
  <w:num w:numId="40" w16cid:durableId="1058287209">
    <w:abstractNumId w:val="2"/>
  </w:num>
  <w:num w:numId="41" w16cid:durableId="1539010613">
    <w:abstractNumId w:val="2"/>
  </w:num>
  <w:num w:numId="42" w16cid:durableId="1332953528">
    <w:abstractNumId w:val="2"/>
  </w:num>
  <w:num w:numId="43" w16cid:durableId="205916988">
    <w:abstractNumId w:val="2"/>
  </w:num>
  <w:num w:numId="44" w16cid:durableId="1845972274">
    <w:abstractNumId w:val="2"/>
  </w:num>
  <w:num w:numId="45" w16cid:durableId="1205407368">
    <w:abstractNumId w:val="2"/>
  </w:num>
  <w:num w:numId="46" w16cid:durableId="147601339">
    <w:abstractNumId w:val="2"/>
  </w:num>
  <w:num w:numId="47" w16cid:durableId="1681810823">
    <w:abstractNumId w:val="2"/>
  </w:num>
  <w:num w:numId="48" w16cid:durableId="182866151">
    <w:abstractNumId w:val="2"/>
  </w:num>
  <w:num w:numId="49" w16cid:durableId="1113864128">
    <w:abstractNumId w:val="2"/>
  </w:num>
  <w:num w:numId="50" w16cid:durableId="310907990">
    <w:abstractNumId w:val="2"/>
  </w:num>
  <w:num w:numId="51" w16cid:durableId="1110276104">
    <w:abstractNumId w:val="2"/>
  </w:num>
  <w:num w:numId="52" w16cid:durableId="801192128">
    <w:abstractNumId w:val="2"/>
  </w:num>
  <w:num w:numId="53" w16cid:durableId="334724164">
    <w:abstractNumId w:val="2"/>
  </w:num>
  <w:num w:numId="54" w16cid:durableId="1153058003">
    <w:abstractNumId w:val="2"/>
  </w:num>
  <w:num w:numId="55" w16cid:durableId="1562055039">
    <w:abstractNumId w:val="2"/>
  </w:num>
  <w:num w:numId="56" w16cid:durableId="1215317302">
    <w:abstractNumId w:val="2"/>
  </w:num>
  <w:num w:numId="57" w16cid:durableId="1421759828">
    <w:abstractNumId w:val="2"/>
  </w:num>
  <w:num w:numId="58" w16cid:durableId="1679236377">
    <w:abstractNumId w:val="2"/>
  </w:num>
  <w:num w:numId="59" w16cid:durableId="2113865242">
    <w:abstractNumId w:val="2"/>
  </w:num>
  <w:num w:numId="60" w16cid:durableId="538202089">
    <w:abstractNumId w:val="2"/>
  </w:num>
  <w:num w:numId="61" w16cid:durableId="1856261905">
    <w:abstractNumId w:val="2"/>
  </w:num>
  <w:num w:numId="62" w16cid:durableId="1843350073">
    <w:abstractNumId w:val="2"/>
  </w:num>
  <w:num w:numId="63" w16cid:durableId="2125728363">
    <w:abstractNumId w:val="2"/>
  </w:num>
  <w:num w:numId="64" w16cid:durableId="1536650614">
    <w:abstractNumId w:val="2"/>
  </w:num>
  <w:num w:numId="65" w16cid:durableId="627472057">
    <w:abstractNumId w:val="2"/>
  </w:num>
  <w:num w:numId="66" w16cid:durableId="1177117796">
    <w:abstractNumId w:val="2"/>
  </w:num>
  <w:num w:numId="67" w16cid:durableId="1950118612">
    <w:abstractNumId w:val="2"/>
  </w:num>
  <w:num w:numId="68" w16cid:durableId="704142515">
    <w:abstractNumId w:val="1"/>
  </w:num>
  <w:num w:numId="69" w16cid:durableId="646012565">
    <w:abstractNumId w:val="2"/>
  </w:num>
  <w:num w:numId="70" w16cid:durableId="981733532">
    <w:abstractNumId w:val="2"/>
  </w:num>
  <w:num w:numId="71" w16cid:durableId="1490638956">
    <w:abstractNumId w:val="2"/>
  </w:num>
  <w:num w:numId="72" w16cid:durableId="2095199308">
    <w:abstractNumId w:val="2"/>
  </w:num>
  <w:num w:numId="73" w16cid:durableId="4290007">
    <w:abstractNumId w:val="2"/>
  </w:num>
  <w:num w:numId="74" w16cid:durableId="217595809">
    <w:abstractNumId w:val="2"/>
  </w:num>
  <w:num w:numId="75" w16cid:durableId="1743290255">
    <w:abstractNumId w:val="2"/>
  </w:num>
  <w:num w:numId="76" w16cid:durableId="2082017531">
    <w:abstractNumId w:val="2"/>
  </w:num>
  <w:num w:numId="77" w16cid:durableId="96558306">
    <w:abstractNumId w:val="2"/>
  </w:num>
  <w:num w:numId="78" w16cid:durableId="50732719">
    <w:abstractNumId w:val="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CE"/>
    <w:rsid w:val="000019C6"/>
    <w:rsid w:val="00015CA2"/>
    <w:rsid w:val="00017378"/>
    <w:rsid w:val="00026B13"/>
    <w:rsid w:val="000405DD"/>
    <w:rsid w:val="000507C5"/>
    <w:rsid w:val="00065516"/>
    <w:rsid w:val="00065594"/>
    <w:rsid w:val="0007383B"/>
    <w:rsid w:val="0007682D"/>
    <w:rsid w:val="0009647E"/>
    <w:rsid w:val="000A65E7"/>
    <w:rsid w:val="000B5693"/>
    <w:rsid w:val="000C11E3"/>
    <w:rsid w:val="000C6D42"/>
    <w:rsid w:val="000D5923"/>
    <w:rsid w:val="000E536B"/>
    <w:rsid w:val="00113BD7"/>
    <w:rsid w:val="00124D61"/>
    <w:rsid w:val="00127637"/>
    <w:rsid w:val="0013699B"/>
    <w:rsid w:val="00151D57"/>
    <w:rsid w:val="00164B28"/>
    <w:rsid w:val="0017430F"/>
    <w:rsid w:val="001913A8"/>
    <w:rsid w:val="0019710D"/>
    <w:rsid w:val="001A6909"/>
    <w:rsid w:val="001B4824"/>
    <w:rsid w:val="001B7321"/>
    <w:rsid w:val="001C03BB"/>
    <w:rsid w:val="0020660F"/>
    <w:rsid w:val="00207874"/>
    <w:rsid w:val="0022352E"/>
    <w:rsid w:val="00223F19"/>
    <w:rsid w:val="00237DB2"/>
    <w:rsid w:val="0024645D"/>
    <w:rsid w:val="00260612"/>
    <w:rsid w:val="00273744"/>
    <w:rsid w:val="00285EC6"/>
    <w:rsid w:val="00296829"/>
    <w:rsid w:val="002A0249"/>
    <w:rsid w:val="002A261D"/>
    <w:rsid w:val="002A2827"/>
    <w:rsid w:val="002B0AF7"/>
    <w:rsid w:val="002C1314"/>
    <w:rsid w:val="002C4BA8"/>
    <w:rsid w:val="002D0122"/>
    <w:rsid w:val="002E603E"/>
    <w:rsid w:val="002F245F"/>
    <w:rsid w:val="002F3702"/>
    <w:rsid w:val="00300FE9"/>
    <w:rsid w:val="003020A1"/>
    <w:rsid w:val="003203A0"/>
    <w:rsid w:val="00326490"/>
    <w:rsid w:val="00346223"/>
    <w:rsid w:val="00350096"/>
    <w:rsid w:val="0036014C"/>
    <w:rsid w:val="00364951"/>
    <w:rsid w:val="0036780B"/>
    <w:rsid w:val="003745F2"/>
    <w:rsid w:val="00375CED"/>
    <w:rsid w:val="003829A7"/>
    <w:rsid w:val="00390322"/>
    <w:rsid w:val="00390521"/>
    <w:rsid w:val="003B2DDA"/>
    <w:rsid w:val="003B518C"/>
    <w:rsid w:val="003C4D64"/>
    <w:rsid w:val="003D047A"/>
    <w:rsid w:val="003D5266"/>
    <w:rsid w:val="003D7212"/>
    <w:rsid w:val="00422AB2"/>
    <w:rsid w:val="00423515"/>
    <w:rsid w:val="00452B48"/>
    <w:rsid w:val="00474FE8"/>
    <w:rsid w:val="00487964"/>
    <w:rsid w:val="00493B3A"/>
    <w:rsid w:val="004C084D"/>
    <w:rsid w:val="004C4F4C"/>
    <w:rsid w:val="004E0801"/>
    <w:rsid w:val="004F3933"/>
    <w:rsid w:val="004F6189"/>
    <w:rsid w:val="005028D5"/>
    <w:rsid w:val="00515C89"/>
    <w:rsid w:val="00523277"/>
    <w:rsid w:val="00551E8E"/>
    <w:rsid w:val="00580BF2"/>
    <w:rsid w:val="0058237A"/>
    <w:rsid w:val="00585814"/>
    <w:rsid w:val="00592C87"/>
    <w:rsid w:val="00594C18"/>
    <w:rsid w:val="005A2CCE"/>
    <w:rsid w:val="005A5FB4"/>
    <w:rsid w:val="005B0C0F"/>
    <w:rsid w:val="005C11C6"/>
    <w:rsid w:val="005D03EC"/>
    <w:rsid w:val="005D0FA0"/>
    <w:rsid w:val="005D57CB"/>
    <w:rsid w:val="00613DB5"/>
    <w:rsid w:val="00620FFF"/>
    <w:rsid w:val="006602F7"/>
    <w:rsid w:val="0066747F"/>
    <w:rsid w:val="006805F7"/>
    <w:rsid w:val="006A5EEA"/>
    <w:rsid w:val="006C1024"/>
    <w:rsid w:val="006C3D9A"/>
    <w:rsid w:val="006C4FCB"/>
    <w:rsid w:val="006D111B"/>
    <w:rsid w:val="006E77D1"/>
    <w:rsid w:val="006E7EE5"/>
    <w:rsid w:val="00700E72"/>
    <w:rsid w:val="00704E0F"/>
    <w:rsid w:val="007114A4"/>
    <w:rsid w:val="0071224A"/>
    <w:rsid w:val="007122D4"/>
    <w:rsid w:val="00716DD3"/>
    <w:rsid w:val="007250EE"/>
    <w:rsid w:val="007262E7"/>
    <w:rsid w:val="00733C6D"/>
    <w:rsid w:val="007360C1"/>
    <w:rsid w:val="00737A6B"/>
    <w:rsid w:val="00741B7A"/>
    <w:rsid w:val="00747843"/>
    <w:rsid w:val="00750237"/>
    <w:rsid w:val="00756CFE"/>
    <w:rsid w:val="00764FF4"/>
    <w:rsid w:val="00765E8C"/>
    <w:rsid w:val="00767BE2"/>
    <w:rsid w:val="00777EF6"/>
    <w:rsid w:val="0078208F"/>
    <w:rsid w:val="00784307"/>
    <w:rsid w:val="007847A9"/>
    <w:rsid w:val="0078653A"/>
    <w:rsid w:val="007A51DD"/>
    <w:rsid w:val="007E14FA"/>
    <w:rsid w:val="00801921"/>
    <w:rsid w:val="00804301"/>
    <w:rsid w:val="0081253C"/>
    <w:rsid w:val="00813585"/>
    <w:rsid w:val="008323FC"/>
    <w:rsid w:val="0085292D"/>
    <w:rsid w:val="008602E6"/>
    <w:rsid w:val="00882169"/>
    <w:rsid w:val="00895FCF"/>
    <w:rsid w:val="008A19C8"/>
    <w:rsid w:val="008A4056"/>
    <w:rsid w:val="008B1375"/>
    <w:rsid w:val="008B2F28"/>
    <w:rsid w:val="008C46B5"/>
    <w:rsid w:val="008C4CBB"/>
    <w:rsid w:val="008C7B12"/>
    <w:rsid w:val="008D2C13"/>
    <w:rsid w:val="009125B6"/>
    <w:rsid w:val="00921DBD"/>
    <w:rsid w:val="00924FCA"/>
    <w:rsid w:val="00927C0C"/>
    <w:rsid w:val="009331DB"/>
    <w:rsid w:val="009622C5"/>
    <w:rsid w:val="00963553"/>
    <w:rsid w:val="00973E98"/>
    <w:rsid w:val="00982634"/>
    <w:rsid w:val="009B1D4F"/>
    <w:rsid w:val="009B1F3E"/>
    <w:rsid w:val="009B3756"/>
    <w:rsid w:val="009D31AD"/>
    <w:rsid w:val="009F4160"/>
    <w:rsid w:val="00A10696"/>
    <w:rsid w:val="00A31CB3"/>
    <w:rsid w:val="00A34CDC"/>
    <w:rsid w:val="00A50F80"/>
    <w:rsid w:val="00A61493"/>
    <w:rsid w:val="00A61F59"/>
    <w:rsid w:val="00A70D9F"/>
    <w:rsid w:val="00A92C68"/>
    <w:rsid w:val="00A94B90"/>
    <w:rsid w:val="00AA3727"/>
    <w:rsid w:val="00AC2387"/>
    <w:rsid w:val="00AC4A42"/>
    <w:rsid w:val="00AD54E7"/>
    <w:rsid w:val="00B22564"/>
    <w:rsid w:val="00B301D6"/>
    <w:rsid w:val="00B30302"/>
    <w:rsid w:val="00B31078"/>
    <w:rsid w:val="00B41D42"/>
    <w:rsid w:val="00B43D4E"/>
    <w:rsid w:val="00B60D42"/>
    <w:rsid w:val="00B631AF"/>
    <w:rsid w:val="00B64BFF"/>
    <w:rsid w:val="00B657FB"/>
    <w:rsid w:val="00B70CBF"/>
    <w:rsid w:val="00B85D2B"/>
    <w:rsid w:val="00BA64F2"/>
    <w:rsid w:val="00BA70F6"/>
    <w:rsid w:val="00BB03B5"/>
    <w:rsid w:val="00BD26EB"/>
    <w:rsid w:val="00BD6180"/>
    <w:rsid w:val="00C27BAC"/>
    <w:rsid w:val="00C41C57"/>
    <w:rsid w:val="00C4242B"/>
    <w:rsid w:val="00C426F9"/>
    <w:rsid w:val="00C61D49"/>
    <w:rsid w:val="00C761E9"/>
    <w:rsid w:val="00C822C6"/>
    <w:rsid w:val="00C857AF"/>
    <w:rsid w:val="00C86E06"/>
    <w:rsid w:val="00C9394E"/>
    <w:rsid w:val="00CC0FFD"/>
    <w:rsid w:val="00CD1ACC"/>
    <w:rsid w:val="00CD31C4"/>
    <w:rsid w:val="00CE1B6D"/>
    <w:rsid w:val="00CE60C4"/>
    <w:rsid w:val="00CF71A9"/>
    <w:rsid w:val="00D60ED9"/>
    <w:rsid w:val="00D673AD"/>
    <w:rsid w:val="00D7118F"/>
    <w:rsid w:val="00D71F45"/>
    <w:rsid w:val="00D77B85"/>
    <w:rsid w:val="00D82A5A"/>
    <w:rsid w:val="00D82ED0"/>
    <w:rsid w:val="00D85A98"/>
    <w:rsid w:val="00DA53DF"/>
    <w:rsid w:val="00DB11D6"/>
    <w:rsid w:val="00DB123A"/>
    <w:rsid w:val="00DB2C65"/>
    <w:rsid w:val="00DB55B9"/>
    <w:rsid w:val="00DC065B"/>
    <w:rsid w:val="00DC7EBB"/>
    <w:rsid w:val="00DD5534"/>
    <w:rsid w:val="00DE1EEF"/>
    <w:rsid w:val="00E0522C"/>
    <w:rsid w:val="00E0548E"/>
    <w:rsid w:val="00E1205E"/>
    <w:rsid w:val="00E15EDC"/>
    <w:rsid w:val="00E20C22"/>
    <w:rsid w:val="00E56176"/>
    <w:rsid w:val="00E62D8C"/>
    <w:rsid w:val="00E716A2"/>
    <w:rsid w:val="00E915B0"/>
    <w:rsid w:val="00EA59CD"/>
    <w:rsid w:val="00EB037C"/>
    <w:rsid w:val="00EB07AA"/>
    <w:rsid w:val="00EF3B75"/>
    <w:rsid w:val="00EF60D6"/>
    <w:rsid w:val="00F220EB"/>
    <w:rsid w:val="00F43EAC"/>
    <w:rsid w:val="00F74A17"/>
    <w:rsid w:val="00FB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DCEB4"/>
  <w15:docId w15:val="{F854BA1F-B3EF-4B6D-AEB2-19859BA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874"/>
    <w:pPr>
      <w:spacing w:before="40" w:after="40"/>
      <w:jc w:val="both"/>
    </w:pPr>
  </w:style>
  <w:style w:type="paragraph" w:styleId="Nadpis1">
    <w:name w:val="heading 1"/>
    <w:basedOn w:val="Normln"/>
    <w:next w:val="Nadpis2"/>
    <w:link w:val="Nadpis1Char"/>
    <w:qFormat/>
    <w:rsid w:val="00E56176"/>
    <w:pPr>
      <w:keepNext/>
      <w:numPr>
        <w:numId w:val="1"/>
      </w:numPr>
      <w:spacing w:before="120" w:after="60" w:line="240" w:lineRule="auto"/>
      <w:outlineLvl w:val="0"/>
    </w:pPr>
    <w:rPr>
      <w:rFonts w:ascii="Calibri" w:eastAsia="Times New Roman" w:hAnsi="Calibri" w:cs="Times New Roman"/>
      <w:b/>
      <w:caps/>
      <w:kern w:val="32"/>
      <w:sz w:val="18"/>
      <w:szCs w:val="20"/>
      <w:lang w:val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A2CCE"/>
    <w:pPr>
      <w:widowControl w:val="0"/>
      <w:numPr>
        <w:ilvl w:val="1"/>
        <w:numId w:val="1"/>
      </w:numPr>
      <w:spacing w:before="60" w:after="60" w:line="240" w:lineRule="auto"/>
      <w:outlineLvl w:val="1"/>
    </w:pPr>
    <w:rPr>
      <w:rFonts w:ascii="Calibri" w:eastAsia="Times New Roman" w:hAnsi="Calibri" w:cs="Times New Roman"/>
      <w:sz w:val="24"/>
      <w:szCs w:val="20"/>
      <w:lang w:val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A2CCE"/>
    <w:pPr>
      <w:numPr>
        <w:ilvl w:val="2"/>
        <w:numId w:val="1"/>
      </w:numPr>
      <w:spacing w:before="60" w:after="60" w:line="240" w:lineRule="auto"/>
      <w:outlineLvl w:val="2"/>
    </w:pPr>
    <w:rPr>
      <w:rFonts w:ascii="Calibri" w:eastAsia="Times New Roman" w:hAnsi="Calibri" w:cs="Times New Roman"/>
      <w:sz w:val="24"/>
      <w:szCs w:val="20"/>
      <w:lang w:val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A2CCE"/>
    <w:pPr>
      <w:widowControl w:val="0"/>
      <w:numPr>
        <w:ilvl w:val="3"/>
        <w:numId w:val="1"/>
      </w:numPr>
      <w:spacing w:before="60" w:after="60" w:line="240" w:lineRule="auto"/>
      <w:outlineLvl w:val="3"/>
    </w:pPr>
    <w:rPr>
      <w:rFonts w:ascii="Calibri" w:eastAsia="Times New Roman" w:hAnsi="Calibri" w:cs="Times New Roman"/>
      <w:sz w:val="24"/>
      <w:szCs w:val="20"/>
      <w:lang w:val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5A2CCE"/>
    <w:pPr>
      <w:widowControl w:val="0"/>
      <w:numPr>
        <w:ilvl w:val="4"/>
        <w:numId w:val="1"/>
      </w:numPr>
      <w:spacing w:before="60" w:after="60" w:line="240" w:lineRule="auto"/>
      <w:outlineLvl w:val="4"/>
    </w:pPr>
    <w:rPr>
      <w:rFonts w:ascii="Calibri" w:eastAsia="Times New Roman" w:hAnsi="Calibri" w:cs="Times New Roman"/>
      <w:sz w:val="24"/>
      <w:szCs w:val="20"/>
      <w:lang w:val="en-US"/>
    </w:rPr>
  </w:style>
  <w:style w:type="paragraph" w:styleId="Nadpis6">
    <w:name w:val="heading 6"/>
    <w:basedOn w:val="Normln"/>
    <w:next w:val="Normln"/>
    <w:link w:val="Nadpis6Char"/>
    <w:uiPriority w:val="99"/>
    <w:qFormat/>
    <w:rsid w:val="005A2CCE"/>
    <w:pPr>
      <w:numPr>
        <w:ilvl w:val="5"/>
        <w:numId w:val="1"/>
      </w:numPr>
      <w:overflowPunct w:val="0"/>
      <w:autoSpaceDE w:val="0"/>
      <w:autoSpaceDN w:val="0"/>
      <w:adjustRightInd w:val="0"/>
      <w:spacing w:before="60" w:after="240" w:line="240" w:lineRule="auto"/>
      <w:jc w:val="center"/>
      <w:textAlignment w:val="baseline"/>
      <w:outlineLvl w:val="5"/>
    </w:pPr>
    <w:rPr>
      <w:rFonts w:ascii="Calibri" w:eastAsia="Times New Roman" w:hAnsi="Calibri" w:cs="Times New Roman"/>
      <w:b/>
      <w:caps/>
      <w:sz w:val="24"/>
      <w:szCs w:val="24"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5A2CCE"/>
    <w:pPr>
      <w:keepNext/>
      <w:numPr>
        <w:ilvl w:val="6"/>
        <w:numId w:val="1"/>
      </w:numPr>
      <w:tabs>
        <w:tab w:val="left" w:pos="1578"/>
        <w:tab w:val="left" w:pos="2232"/>
        <w:tab w:val="left" w:pos="2880"/>
        <w:tab w:val="left" w:pos="3600"/>
      </w:tabs>
      <w:overflowPunct w:val="0"/>
      <w:autoSpaceDE w:val="0"/>
      <w:autoSpaceDN w:val="0"/>
      <w:adjustRightInd w:val="0"/>
      <w:spacing w:before="60" w:after="60" w:line="243" w:lineRule="exact"/>
      <w:textAlignment w:val="baseline"/>
      <w:outlineLvl w:val="6"/>
    </w:pPr>
    <w:rPr>
      <w:rFonts w:ascii="Calibri" w:eastAsia="Times New Roman" w:hAnsi="Calibri" w:cs="Times New Roman"/>
      <w:b/>
      <w:spacing w:val="-5"/>
      <w:sz w:val="24"/>
      <w:szCs w:val="20"/>
      <w:lang w:val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5A2CCE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5A2CCE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Calibri" w:eastAsia="Times New Roman" w:hAnsi="Calibri" w:cs="Arial"/>
      <w:sz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6176"/>
    <w:rPr>
      <w:rFonts w:ascii="Calibri" w:eastAsia="Times New Roman" w:hAnsi="Calibri" w:cs="Times New Roman"/>
      <w:b/>
      <w:caps/>
      <w:kern w:val="32"/>
      <w:sz w:val="18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rsid w:val="005A2CCE"/>
    <w:rPr>
      <w:rFonts w:ascii="Calibri" w:eastAsia="Times New Roman" w:hAnsi="Calibri" w:cs="Times New Roman"/>
      <w:sz w:val="24"/>
      <w:szCs w:val="20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rsid w:val="005A2CCE"/>
    <w:rPr>
      <w:rFonts w:ascii="Calibri" w:eastAsia="Times New Roman" w:hAnsi="Calibri" w:cs="Times New Roman"/>
      <w:sz w:val="24"/>
      <w:szCs w:val="20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rsid w:val="005A2CCE"/>
    <w:rPr>
      <w:rFonts w:ascii="Calibri" w:eastAsia="Times New Roman" w:hAnsi="Calibri" w:cs="Times New Roman"/>
      <w:sz w:val="24"/>
      <w:szCs w:val="20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5A2CCE"/>
    <w:rPr>
      <w:rFonts w:ascii="Calibri" w:eastAsia="Times New Roman" w:hAnsi="Calibri" w:cs="Times New Roman"/>
      <w:sz w:val="24"/>
      <w:szCs w:val="20"/>
      <w:lang w:val="en-US"/>
    </w:rPr>
  </w:style>
  <w:style w:type="character" w:customStyle="1" w:styleId="Nadpis6Char">
    <w:name w:val="Nadpis 6 Char"/>
    <w:basedOn w:val="Standardnpsmoodstavce"/>
    <w:link w:val="Nadpis6"/>
    <w:uiPriority w:val="99"/>
    <w:rsid w:val="005A2CCE"/>
    <w:rPr>
      <w:rFonts w:ascii="Calibri" w:eastAsia="Times New Roman" w:hAnsi="Calibri" w:cs="Times New Roman"/>
      <w:b/>
      <w:caps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uiPriority w:val="99"/>
    <w:rsid w:val="005A2CCE"/>
    <w:rPr>
      <w:rFonts w:ascii="Calibri" w:eastAsia="Times New Roman" w:hAnsi="Calibri" w:cs="Times New Roman"/>
      <w:b/>
      <w:spacing w:val="-5"/>
      <w:sz w:val="24"/>
      <w:szCs w:val="20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rsid w:val="005A2CCE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9"/>
    <w:rsid w:val="005A2CCE"/>
    <w:rPr>
      <w:rFonts w:ascii="Calibri" w:eastAsia="Times New Roman" w:hAnsi="Calibri" w:cs="Arial"/>
      <w:sz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1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3DB5"/>
  </w:style>
  <w:style w:type="paragraph" w:styleId="Zpat">
    <w:name w:val="footer"/>
    <w:basedOn w:val="Normln"/>
    <w:link w:val="ZpatChar"/>
    <w:uiPriority w:val="99"/>
    <w:unhideWhenUsed/>
    <w:rsid w:val="0061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3DB5"/>
  </w:style>
  <w:style w:type="character" w:styleId="slostrnky">
    <w:name w:val="page number"/>
    <w:basedOn w:val="Standardnpsmoodstavce"/>
    <w:uiPriority w:val="99"/>
    <w:rsid w:val="00895FCF"/>
    <w:rPr>
      <w:rFonts w:ascii="Calibri" w:hAnsi="Calibri" w:cs="Times New Roman"/>
      <w:sz w:val="16"/>
    </w:rPr>
  </w:style>
  <w:style w:type="table" w:styleId="Mkatabulky">
    <w:name w:val="Table Grid"/>
    <w:basedOn w:val="Normlntabulka"/>
    <w:uiPriority w:val="59"/>
    <w:rsid w:val="009D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A372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71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1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1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1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118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A282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282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B39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r.coi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r@co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5EECE-7900-49A8-94A0-2F3E4601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4633</Words>
  <Characters>27341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Kotula Tomáš</dc:creator>
  <cp:lastModifiedBy>Šedivý Petr</cp:lastModifiedBy>
  <cp:revision>2</cp:revision>
  <cp:lastPrinted>2026-01-20T14:33:00Z</cp:lastPrinted>
  <dcterms:created xsi:type="dcterms:W3CDTF">2026-02-04T12:08:00Z</dcterms:created>
  <dcterms:modified xsi:type="dcterms:W3CDTF">2026-02-04T12:08:00Z</dcterms:modified>
</cp:coreProperties>
</file>