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21B7" w14:textId="3A81A667" w:rsidR="00E13F9E" w:rsidRPr="00E13F9E" w:rsidRDefault="00E13F9E" w:rsidP="00E13F9E">
      <w:pPr>
        <w:jc w:val="center"/>
        <w:rPr>
          <w:b/>
          <w:bCs/>
          <w:sz w:val="22"/>
          <w:szCs w:val="22"/>
          <w:lang w:val="cs-CZ"/>
        </w:rPr>
      </w:pPr>
      <w:r w:rsidRPr="00E13F9E">
        <w:rPr>
          <w:b/>
          <w:bCs/>
          <w:sz w:val="22"/>
          <w:szCs w:val="22"/>
          <w:lang w:val="cs-CZ"/>
        </w:rPr>
        <w:t>RÁMCOVÁ SMLOUVA O POSTOUPENÍ POHLEDÁVEK (NABYTÍ PARTICIPACE)</w:t>
      </w:r>
    </w:p>
    <w:p w14:paraId="6779354E" w14:textId="77777777" w:rsidR="00E13F9E" w:rsidRPr="00E13F9E" w:rsidRDefault="00E13F9E" w:rsidP="00622723">
      <w:pPr>
        <w:rPr>
          <w:b/>
          <w:bCs/>
          <w:sz w:val="22"/>
          <w:szCs w:val="22"/>
          <w:lang w:val="cs-CZ"/>
        </w:rPr>
      </w:pPr>
    </w:p>
    <w:p w14:paraId="16A00AF8" w14:textId="06942CC5" w:rsidR="00072676" w:rsidRPr="00E13F9E" w:rsidRDefault="000634EB" w:rsidP="00622723">
      <w:pPr>
        <w:rPr>
          <w:b/>
          <w:bCs/>
          <w:sz w:val="22"/>
          <w:szCs w:val="22"/>
          <w:lang w:val="cs-CZ"/>
        </w:rPr>
      </w:pPr>
      <w:r w:rsidRPr="00E13F9E">
        <w:rPr>
          <w:b/>
          <w:sz w:val="22"/>
          <w:szCs w:val="22"/>
          <w:lang w:val="cs-CZ"/>
        </w:rPr>
        <w:t xml:space="preserve">TUTO </w:t>
      </w:r>
      <w:r w:rsidR="00E13F9E" w:rsidRPr="00E13F9E">
        <w:rPr>
          <w:b/>
          <w:bCs/>
          <w:sz w:val="22"/>
          <w:szCs w:val="22"/>
          <w:lang w:val="cs-CZ"/>
        </w:rPr>
        <w:t xml:space="preserve">RÁMCOVOU SMLOUVOU O POSTOUPENÍ POHLEDÁVEK (NABYTÍ PARTICIPACE) </w:t>
      </w:r>
      <w:r w:rsidR="00622723" w:rsidRPr="00E13F9E">
        <w:rPr>
          <w:sz w:val="22"/>
          <w:szCs w:val="22"/>
          <w:lang w:val="cs-CZ"/>
        </w:rPr>
        <w:t>(dále jen „</w:t>
      </w:r>
      <w:r w:rsidR="00EB2CBA" w:rsidRPr="00EB2CBA">
        <w:rPr>
          <w:b/>
          <w:bCs/>
          <w:sz w:val="22"/>
          <w:szCs w:val="22"/>
          <w:lang w:val="cs-CZ"/>
        </w:rPr>
        <w:t>Rámcová</w:t>
      </w:r>
      <w:r w:rsidR="00EB2CBA">
        <w:rPr>
          <w:sz w:val="22"/>
          <w:szCs w:val="22"/>
          <w:lang w:val="cs-CZ"/>
        </w:rPr>
        <w:t xml:space="preserve"> </w:t>
      </w:r>
      <w:r w:rsidR="00EB2CBA">
        <w:rPr>
          <w:b/>
          <w:sz w:val="22"/>
          <w:szCs w:val="22"/>
          <w:lang w:val="cs-CZ"/>
        </w:rPr>
        <w:t>s</w:t>
      </w:r>
      <w:r w:rsidR="00622723" w:rsidRPr="00E13F9E">
        <w:rPr>
          <w:b/>
          <w:sz w:val="22"/>
          <w:szCs w:val="22"/>
          <w:lang w:val="cs-CZ"/>
        </w:rPr>
        <w:t>mlouva</w:t>
      </w:r>
      <w:r w:rsidR="00622723" w:rsidRPr="00E13F9E">
        <w:rPr>
          <w:sz w:val="22"/>
          <w:szCs w:val="22"/>
          <w:lang w:val="cs-CZ"/>
        </w:rPr>
        <w:t xml:space="preserve">”) </w:t>
      </w:r>
      <w:r w:rsidR="00072676" w:rsidRPr="00E13F9E">
        <w:rPr>
          <w:sz w:val="22"/>
          <w:szCs w:val="22"/>
          <w:lang w:val="cs-CZ"/>
        </w:rPr>
        <w:t>uzavírají níže uvedeného dne podle ustanovení § 2055 a násl. zákona č. 89/2012 Sb., občanský zákoník v platném znění (dále jen „</w:t>
      </w:r>
      <w:r w:rsidR="00072676" w:rsidRPr="00E13F9E">
        <w:rPr>
          <w:b/>
          <w:sz w:val="22"/>
          <w:szCs w:val="22"/>
          <w:lang w:val="cs-CZ"/>
        </w:rPr>
        <w:t>občanský zákoník</w:t>
      </w:r>
      <w:r w:rsidR="00072676" w:rsidRPr="00E13F9E">
        <w:rPr>
          <w:sz w:val="22"/>
          <w:szCs w:val="22"/>
          <w:lang w:val="cs-CZ"/>
        </w:rPr>
        <w:t>”), následující smluvní strany:</w:t>
      </w:r>
    </w:p>
    <w:p w14:paraId="2369121E" w14:textId="62BDA916" w:rsidR="00622723" w:rsidRPr="00E13F9E" w:rsidRDefault="00723F0F" w:rsidP="00072676">
      <w:pPr>
        <w:pStyle w:val="Strany"/>
        <w:spacing w:before="240"/>
        <w:rPr>
          <w:rFonts w:cs="Calibri"/>
          <w:sz w:val="22"/>
          <w:szCs w:val="22"/>
          <w:lang w:val="cs-CZ" w:eastAsia="cs-CZ"/>
        </w:rPr>
      </w:pPr>
      <w:r>
        <w:rPr>
          <w:b/>
          <w:sz w:val="22"/>
          <w:szCs w:val="22"/>
          <w:lang w:val="cs-CZ"/>
        </w:rPr>
        <w:t>BANKEE</w:t>
      </w:r>
      <w:r w:rsidR="00E13F9E" w:rsidRPr="00E13F9E">
        <w:rPr>
          <w:b/>
          <w:sz w:val="22"/>
          <w:szCs w:val="22"/>
          <w:lang w:val="cs-CZ"/>
        </w:rPr>
        <w:t xml:space="preserve"> Financial Services s.r.o.</w:t>
      </w:r>
      <w:r w:rsidR="00E13F9E" w:rsidRPr="00E13F9E">
        <w:rPr>
          <w:bCs/>
          <w:sz w:val="22"/>
          <w:szCs w:val="22"/>
          <w:lang w:val="cs-CZ"/>
        </w:rPr>
        <w:t>,</w:t>
      </w:r>
      <w:r w:rsidR="00E13F9E" w:rsidRPr="00E13F9E">
        <w:rPr>
          <w:sz w:val="22"/>
          <w:szCs w:val="22"/>
          <w:lang w:val="cs-CZ"/>
        </w:rPr>
        <w:t xml:space="preserve"> se sídlem Na okraji 381/41, Veleslavín, 162 00 </w:t>
      </w:r>
      <w:r w:rsidR="00E13F9E" w:rsidRPr="00E13F9E">
        <w:rPr>
          <w:sz w:val="22"/>
          <w:szCs w:val="22"/>
          <w:lang w:val="cs-CZ"/>
        </w:rPr>
        <w:br/>
        <w:t xml:space="preserve">Praha 6, IČ: 233 28 207, zapsaná v obchodním rejstříku vedeném Městským soudem v Praze, oddíl C, vložka č. </w:t>
      </w:r>
      <w:r w:rsidR="00E13F9E" w:rsidRPr="00723F0F">
        <w:rPr>
          <w:bCs/>
          <w:sz w:val="22"/>
          <w:szCs w:val="22"/>
          <w:lang w:val="cs-CZ"/>
        </w:rPr>
        <w:t xml:space="preserve">425328 </w:t>
      </w:r>
      <w:r w:rsidR="00622723" w:rsidRPr="00E13F9E">
        <w:rPr>
          <w:sz w:val="22"/>
          <w:szCs w:val="22"/>
          <w:lang w:val="cs-CZ"/>
        </w:rPr>
        <w:t>(</w:t>
      </w:r>
      <w:r w:rsidR="00260C6A" w:rsidRPr="00E13F9E">
        <w:rPr>
          <w:sz w:val="22"/>
          <w:szCs w:val="22"/>
          <w:lang w:val="cs-CZ"/>
        </w:rPr>
        <w:t xml:space="preserve">dále jen </w:t>
      </w:r>
      <w:r w:rsidR="00622723" w:rsidRPr="00E13F9E">
        <w:rPr>
          <w:sz w:val="22"/>
          <w:szCs w:val="22"/>
          <w:lang w:val="cs-CZ"/>
        </w:rPr>
        <w:t>„</w:t>
      </w:r>
      <w:r w:rsidR="00E13F9E">
        <w:rPr>
          <w:b/>
          <w:sz w:val="22"/>
          <w:szCs w:val="22"/>
          <w:lang w:val="cs-CZ"/>
        </w:rPr>
        <w:t>Bankee</w:t>
      </w:r>
      <w:r w:rsidR="00622723" w:rsidRPr="00E13F9E">
        <w:rPr>
          <w:sz w:val="22"/>
          <w:szCs w:val="22"/>
          <w:lang w:val="cs-CZ"/>
        </w:rPr>
        <w:t>”);</w:t>
      </w:r>
    </w:p>
    <w:p w14:paraId="10E8BCDD" w14:textId="77777777" w:rsidR="00622723" w:rsidRPr="00E13F9E" w:rsidRDefault="00622723" w:rsidP="00072676">
      <w:pPr>
        <w:pStyle w:val="NormlnodsazenNadpis2"/>
        <w:spacing w:before="240" w:after="240"/>
        <w:rPr>
          <w:sz w:val="22"/>
          <w:szCs w:val="22"/>
          <w:lang w:val="cs-CZ"/>
        </w:rPr>
      </w:pPr>
      <w:r w:rsidRPr="00E13F9E">
        <w:rPr>
          <w:sz w:val="22"/>
          <w:szCs w:val="22"/>
          <w:lang w:val="cs-CZ"/>
        </w:rPr>
        <w:t>a</w:t>
      </w:r>
    </w:p>
    <w:p w14:paraId="2175E532" w14:textId="6D9D7CAA" w:rsidR="004769F0" w:rsidRPr="004769F0" w:rsidRDefault="00E13F9E" w:rsidP="004769F0">
      <w:pPr>
        <w:pStyle w:val="Strany"/>
        <w:spacing w:before="0" w:after="60"/>
        <w:rPr>
          <w:sz w:val="22"/>
          <w:szCs w:val="22"/>
          <w:lang w:val="cs-CZ"/>
        </w:rPr>
      </w:pPr>
      <w:r>
        <w:rPr>
          <w:b/>
          <w:sz w:val="22"/>
          <w:szCs w:val="22"/>
          <w:lang w:val="cs-CZ"/>
        </w:rPr>
        <w:t>[</w:t>
      </w:r>
      <w:r w:rsidRPr="0006778B">
        <w:rPr>
          <w:b/>
          <w:sz w:val="22"/>
          <w:szCs w:val="22"/>
          <w:highlight w:val="green"/>
          <w:lang w:val="cs-CZ"/>
        </w:rPr>
        <w:t>jméno</w:t>
      </w:r>
      <w:r w:rsidR="004769F0" w:rsidRPr="0006778B">
        <w:rPr>
          <w:b/>
          <w:sz w:val="22"/>
          <w:szCs w:val="22"/>
          <w:highlight w:val="green"/>
          <w:lang w:val="cs-CZ"/>
        </w:rPr>
        <w:t xml:space="preserve"> a příjmení </w:t>
      </w:r>
      <w:r>
        <w:rPr>
          <w:b/>
          <w:sz w:val="22"/>
          <w:szCs w:val="22"/>
          <w:lang w:val="cs-CZ"/>
        </w:rPr>
        <w:t>/</w:t>
      </w:r>
      <w:r w:rsidR="004769F0">
        <w:rPr>
          <w:b/>
          <w:sz w:val="22"/>
          <w:szCs w:val="22"/>
          <w:lang w:val="cs-CZ"/>
        </w:rPr>
        <w:t xml:space="preserve"> </w:t>
      </w:r>
      <w:r w:rsidR="00647294" w:rsidRPr="0006778B">
        <w:rPr>
          <w:b/>
          <w:sz w:val="22"/>
          <w:szCs w:val="22"/>
          <w:highlight w:val="green"/>
          <w:lang w:val="cs-CZ"/>
        </w:rPr>
        <w:t>název s</w:t>
      </w:r>
      <w:r w:rsidR="004769F0" w:rsidRPr="0006778B">
        <w:rPr>
          <w:b/>
          <w:sz w:val="22"/>
          <w:szCs w:val="22"/>
          <w:highlight w:val="green"/>
          <w:lang w:val="cs-CZ"/>
        </w:rPr>
        <w:t>polečnosti</w:t>
      </w:r>
      <w:r>
        <w:rPr>
          <w:b/>
          <w:sz w:val="22"/>
          <w:szCs w:val="22"/>
          <w:lang w:val="cs-CZ"/>
        </w:rPr>
        <w:t>]</w:t>
      </w:r>
    </w:p>
    <w:p w14:paraId="41C5128E" w14:textId="7A4CB489" w:rsidR="004769F0" w:rsidRDefault="004769F0" w:rsidP="004769F0">
      <w:pPr>
        <w:pStyle w:val="Strany"/>
        <w:numPr>
          <w:ilvl w:val="0"/>
          <w:numId w:val="0"/>
        </w:numPr>
        <w:spacing w:before="0" w:after="60"/>
        <w:ind w:left="720"/>
        <w:rPr>
          <w:sz w:val="22"/>
          <w:szCs w:val="22"/>
          <w:lang w:val="cs-CZ"/>
        </w:rPr>
      </w:pPr>
      <w:r w:rsidRPr="004769F0">
        <w:rPr>
          <w:sz w:val="22"/>
          <w:szCs w:val="22"/>
          <w:lang w:val="cs-CZ"/>
        </w:rPr>
        <w:t>rodné číslo</w:t>
      </w:r>
      <w:r>
        <w:rPr>
          <w:sz w:val="22"/>
          <w:szCs w:val="22"/>
          <w:lang w:val="cs-CZ"/>
        </w:rPr>
        <w:t xml:space="preserve"> </w:t>
      </w:r>
      <w:r w:rsidRPr="004769F0">
        <w:rPr>
          <w:sz w:val="22"/>
          <w:szCs w:val="22"/>
          <w:lang w:val="cs-CZ"/>
        </w:rPr>
        <w:t>/</w:t>
      </w:r>
      <w:r>
        <w:rPr>
          <w:sz w:val="22"/>
          <w:szCs w:val="22"/>
          <w:lang w:val="cs-CZ"/>
        </w:rPr>
        <w:t xml:space="preserve"> </w:t>
      </w:r>
      <w:r w:rsidRPr="004769F0">
        <w:rPr>
          <w:sz w:val="22"/>
          <w:szCs w:val="22"/>
          <w:lang w:val="cs-CZ"/>
        </w:rPr>
        <w:t>IČ: [</w:t>
      </w:r>
      <w:r w:rsidRPr="0006778B">
        <w:rPr>
          <w:sz w:val="22"/>
          <w:szCs w:val="22"/>
          <w:highlight w:val="green"/>
          <w:lang w:val="cs-CZ"/>
        </w:rPr>
        <w:t>●</w:t>
      </w:r>
      <w:r w:rsidRPr="004769F0">
        <w:rPr>
          <w:sz w:val="22"/>
          <w:szCs w:val="22"/>
          <w:lang w:val="cs-CZ"/>
        </w:rPr>
        <w:t>]</w:t>
      </w:r>
    </w:p>
    <w:p w14:paraId="61CDB3C9" w14:textId="67870FF2" w:rsidR="004769F0" w:rsidRDefault="004769F0" w:rsidP="004769F0">
      <w:pPr>
        <w:pStyle w:val="Strany"/>
        <w:numPr>
          <w:ilvl w:val="0"/>
          <w:numId w:val="0"/>
        </w:numPr>
        <w:spacing w:before="0" w:after="60"/>
        <w:ind w:left="720"/>
        <w:rPr>
          <w:sz w:val="22"/>
          <w:szCs w:val="22"/>
          <w:lang w:val="cs-CZ"/>
        </w:rPr>
      </w:pPr>
      <w:r w:rsidRPr="004769F0">
        <w:rPr>
          <w:sz w:val="22"/>
          <w:szCs w:val="22"/>
          <w:lang w:val="cs-CZ"/>
        </w:rPr>
        <w:t>trvale bytem</w:t>
      </w:r>
      <w:r>
        <w:rPr>
          <w:sz w:val="22"/>
          <w:szCs w:val="22"/>
          <w:lang w:val="cs-CZ"/>
        </w:rPr>
        <w:t xml:space="preserve"> / se sídlem</w:t>
      </w:r>
      <w:r w:rsidRPr="004769F0">
        <w:rPr>
          <w:sz w:val="22"/>
          <w:szCs w:val="22"/>
          <w:lang w:val="cs-CZ"/>
        </w:rPr>
        <w:t>: [</w:t>
      </w:r>
      <w:r w:rsidRPr="0006778B">
        <w:rPr>
          <w:sz w:val="22"/>
          <w:szCs w:val="22"/>
          <w:highlight w:val="green"/>
          <w:lang w:val="cs-CZ"/>
        </w:rPr>
        <w:t>●</w:t>
      </w:r>
      <w:r w:rsidRPr="004769F0">
        <w:rPr>
          <w:sz w:val="22"/>
          <w:szCs w:val="22"/>
          <w:lang w:val="cs-CZ"/>
        </w:rPr>
        <w:t>]</w:t>
      </w:r>
    </w:p>
    <w:p w14:paraId="6E5FB7CE" w14:textId="071DA730" w:rsidR="004769F0" w:rsidRDefault="004769F0" w:rsidP="004769F0">
      <w:pPr>
        <w:pStyle w:val="Strany"/>
        <w:numPr>
          <w:ilvl w:val="0"/>
          <w:numId w:val="0"/>
        </w:numPr>
        <w:spacing w:before="0" w:after="60"/>
        <w:ind w:left="720"/>
        <w:rPr>
          <w:sz w:val="22"/>
          <w:szCs w:val="22"/>
          <w:lang w:val="cs-CZ"/>
        </w:rPr>
      </w:pPr>
      <w:r w:rsidRPr="004769F0">
        <w:rPr>
          <w:sz w:val="22"/>
          <w:szCs w:val="22"/>
          <w:lang w:val="cs-CZ"/>
        </w:rPr>
        <w:t>tel.: [</w:t>
      </w:r>
      <w:r w:rsidRPr="0006778B">
        <w:rPr>
          <w:sz w:val="22"/>
          <w:szCs w:val="22"/>
          <w:highlight w:val="green"/>
          <w:lang w:val="cs-CZ"/>
        </w:rPr>
        <w:t>●</w:t>
      </w:r>
      <w:r w:rsidRPr="004769F0">
        <w:rPr>
          <w:sz w:val="22"/>
          <w:szCs w:val="22"/>
          <w:lang w:val="cs-CZ"/>
        </w:rPr>
        <w:t>]</w:t>
      </w:r>
    </w:p>
    <w:p w14:paraId="7866F705" w14:textId="181EF26C" w:rsidR="004769F0" w:rsidRPr="004769F0" w:rsidRDefault="004769F0" w:rsidP="004769F0">
      <w:pPr>
        <w:pStyle w:val="Strany"/>
        <w:numPr>
          <w:ilvl w:val="0"/>
          <w:numId w:val="0"/>
        </w:numPr>
        <w:spacing w:before="0" w:after="60"/>
        <w:ind w:left="720"/>
        <w:rPr>
          <w:sz w:val="22"/>
          <w:szCs w:val="22"/>
          <w:lang w:val="cs-CZ"/>
        </w:rPr>
      </w:pPr>
      <w:r w:rsidRPr="004769F0">
        <w:rPr>
          <w:sz w:val="22"/>
          <w:szCs w:val="22"/>
          <w:lang w:val="cs-CZ"/>
        </w:rPr>
        <w:t>e-mail: [</w:t>
      </w:r>
      <w:r w:rsidRPr="0006778B">
        <w:rPr>
          <w:sz w:val="22"/>
          <w:szCs w:val="22"/>
          <w:highlight w:val="green"/>
          <w:lang w:val="cs-CZ"/>
        </w:rPr>
        <w:t>●</w:t>
      </w:r>
      <w:r w:rsidRPr="004769F0">
        <w:rPr>
          <w:sz w:val="22"/>
          <w:szCs w:val="22"/>
          <w:lang w:val="cs-CZ"/>
        </w:rPr>
        <w:t>]</w:t>
      </w:r>
    </w:p>
    <w:p w14:paraId="4BA22FB5" w14:textId="77AFC82D" w:rsidR="00622723" w:rsidRDefault="00622723" w:rsidP="004769F0">
      <w:pPr>
        <w:pStyle w:val="Strany"/>
        <w:numPr>
          <w:ilvl w:val="0"/>
          <w:numId w:val="0"/>
        </w:numPr>
        <w:spacing w:before="0" w:after="0"/>
        <w:ind w:left="720"/>
        <w:rPr>
          <w:sz w:val="22"/>
          <w:szCs w:val="22"/>
          <w:lang w:val="cs-CZ"/>
        </w:rPr>
      </w:pPr>
      <w:r w:rsidRPr="004769F0">
        <w:rPr>
          <w:sz w:val="22"/>
          <w:szCs w:val="22"/>
          <w:lang w:val="cs-CZ"/>
        </w:rPr>
        <w:t>(</w:t>
      </w:r>
      <w:r w:rsidR="00260C6A" w:rsidRPr="004769F0">
        <w:rPr>
          <w:sz w:val="22"/>
          <w:szCs w:val="22"/>
          <w:lang w:val="cs-CZ"/>
        </w:rPr>
        <w:t xml:space="preserve">dále jen </w:t>
      </w:r>
      <w:r w:rsidRPr="004769F0">
        <w:rPr>
          <w:sz w:val="22"/>
          <w:szCs w:val="22"/>
          <w:lang w:val="cs-CZ"/>
        </w:rPr>
        <w:t>„</w:t>
      </w:r>
      <w:r w:rsidR="00E13F9E" w:rsidRPr="004769F0">
        <w:rPr>
          <w:b/>
          <w:sz w:val="22"/>
          <w:szCs w:val="22"/>
          <w:lang w:val="cs-CZ"/>
        </w:rPr>
        <w:t>Investor</w:t>
      </w:r>
      <w:r w:rsidRPr="004769F0">
        <w:rPr>
          <w:sz w:val="22"/>
          <w:szCs w:val="22"/>
          <w:lang w:val="cs-CZ"/>
        </w:rPr>
        <w:t>”);</w:t>
      </w:r>
    </w:p>
    <w:p w14:paraId="42732F7B" w14:textId="77777777" w:rsidR="004769F0" w:rsidRPr="004769F0" w:rsidRDefault="004769F0" w:rsidP="004769F0">
      <w:pPr>
        <w:pStyle w:val="Strany"/>
        <w:numPr>
          <w:ilvl w:val="0"/>
          <w:numId w:val="0"/>
        </w:numPr>
        <w:spacing w:before="0" w:after="0"/>
        <w:rPr>
          <w:sz w:val="22"/>
          <w:szCs w:val="22"/>
          <w:lang w:val="cs-CZ"/>
        </w:rPr>
      </w:pPr>
    </w:p>
    <w:p w14:paraId="280D048A" w14:textId="298694E8" w:rsidR="00622723" w:rsidRPr="00E13F9E" w:rsidRDefault="0071100C" w:rsidP="00622723">
      <w:pPr>
        <w:pStyle w:val="NormlnodsazenNadpis2"/>
        <w:rPr>
          <w:sz w:val="22"/>
          <w:szCs w:val="22"/>
          <w:lang w:val="cs-CZ"/>
        </w:rPr>
      </w:pPr>
      <w:r w:rsidRPr="00E13F9E">
        <w:rPr>
          <w:sz w:val="22"/>
          <w:szCs w:val="22"/>
          <w:lang w:val="cs-CZ"/>
        </w:rPr>
        <w:t>(</w:t>
      </w:r>
      <w:r w:rsidR="00E13F9E">
        <w:rPr>
          <w:sz w:val="22"/>
          <w:szCs w:val="22"/>
          <w:lang w:val="cs-CZ"/>
        </w:rPr>
        <w:t xml:space="preserve">Investor a </w:t>
      </w:r>
      <w:proofErr w:type="spellStart"/>
      <w:r w:rsidR="00E13F9E">
        <w:rPr>
          <w:sz w:val="22"/>
          <w:szCs w:val="22"/>
          <w:lang w:val="cs-CZ"/>
        </w:rPr>
        <w:t>Bankee</w:t>
      </w:r>
      <w:proofErr w:type="spellEnd"/>
      <w:r w:rsidR="00622723" w:rsidRPr="00E13F9E">
        <w:rPr>
          <w:sz w:val="22"/>
          <w:szCs w:val="22"/>
          <w:lang w:val="cs-CZ"/>
        </w:rPr>
        <w:t xml:space="preserve"> jsou v této </w:t>
      </w:r>
      <w:r w:rsidR="00FE64DC">
        <w:rPr>
          <w:sz w:val="22"/>
          <w:szCs w:val="22"/>
          <w:lang w:val="cs-CZ"/>
        </w:rPr>
        <w:t>Rámcové s</w:t>
      </w:r>
      <w:r w:rsidR="00622723" w:rsidRPr="00E13F9E">
        <w:rPr>
          <w:sz w:val="22"/>
          <w:szCs w:val="22"/>
          <w:lang w:val="cs-CZ"/>
        </w:rPr>
        <w:t>mlouvě každý jednotlivě dále uváděny jako „</w:t>
      </w:r>
      <w:r w:rsidR="00622723" w:rsidRPr="00E13F9E">
        <w:rPr>
          <w:b/>
          <w:sz w:val="22"/>
          <w:szCs w:val="22"/>
          <w:lang w:val="cs-CZ"/>
        </w:rPr>
        <w:t>smluvní strana</w:t>
      </w:r>
      <w:r w:rsidR="00622723" w:rsidRPr="00E13F9E">
        <w:rPr>
          <w:sz w:val="22"/>
          <w:szCs w:val="22"/>
          <w:lang w:val="cs-CZ"/>
        </w:rPr>
        <w:t>” a společně jako „</w:t>
      </w:r>
      <w:r w:rsidR="00622723" w:rsidRPr="00E13F9E">
        <w:rPr>
          <w:b/>
          <w:sz w:val="22"/>
          <w:szCs w:val="22"/>
          <w:lang w:val="cs-CZ"/>
        </w:rPr>
        <w:t>smluvní strany</w:t>
      </w:r>
      <w:r w:rsidR="00622723" w:rsidRPr="00E13F9E">
        <w:rPr>
          <w:sz w:val="22"/>
          <w:szCs w:val="22"/>
          <w:lang w:val="cs-CZ"/>
        </w:rPr>
        <w:t>”).</w:t>
      </w:r>
    </w:p>
    <w:p w14:paraId="1673F2C2" w14:textId="77777777" w:rsidR="00622723" w:rsidRPr="00E13F9E" w:rsidRDefault="00622723" w:rsidP="008A638E">
      <w:pPr>
        <w:spacing w:before="0" w:after="0"/>
        <w:rPr>
          <w:sz w:val="22"/>
          <w:szCs w:val="22"/>
          <w:lang w:val="cs-CZ"/>
        </w:rPr>
      </w:pPr>
    </w:p>
    <w:p w14:paraId="1453000B" w14:textId="006C7BA9" w:rsidR="00131449" w:rsidRPr="00E13F9E" w:rsidRDefault="00622723" w:rsidP="00131449">
      <w:pPr>
        <w:spacing w:after="120"/>
        <w:rPr>
          <w:b/>
          <w:sz w:val="22"/>
          <w:szCs w:val="22"/>
          <w:lang w:val="cs-CZ"/>
        </w:rPr>
      </w:pPr>
      <w:r w:rsidRPr="00E13F9E">
        <w:rPr>
          <w:b/>
          <w:sz w:val="22"/>
          <w:szCs w:val="22"/>
          <w:lang w:val="cs-CZ"/>
        </w:rPr>
        <w:t>VZHLEDEM K TOMU, ŽE:</w:t>
      </w:r>
      <w:bookmarkStart w:id="0" w:name="_Ref231910950"/>
    </w:p>
    <w:p w14:paraId="71E0A88B" w14:textId="37EC7EAF" w:rsidR="00E13F9E" w:rsidRDefault="00E13F9E" w:rsidP="00E854A6">
      <w:pPr>
        <w:pStyle w:val="vodnustanoven"/>
        <w:spacing w:after="120"/>
        <w:rPr>
          <w:sz w:val="22"/>
          <w:szCs w:val="22"/>
          <w:lang w:val="cs-CZ"/>
        </w:rPr>
      </w:pPr>
      <w:proofErr w:type="spellStart"/>
      <w:r>
        <w:rPr>
          <w:sz w:val="22"/>
          <w:szCs w:val="22"/>
          <w:lang w:val="cs-CZ"/>
        </w:rPr>
        <w:t>Bankee</w:t>
      </w:r>
      <w:proofErr w:type="spellEnd"/>
      <w:r>
        <w:rPr>
          <w:sz w:val="22"/>
          <w:szCs w:val="22"/>
          <w:lang w:val="cs-CZ"/>
        </w:rPr>
        <w:t xml:space="preserve"> je provozovatelem Platformy, která Investorům umožňuje investovat do Úvěrů </w:t>
      </w:r>
      <w:r w:rsidR="00EB2CBA">
        <w:rPr>
          <w:sz w:val="22"/>
          <w:szCs w:val="22"/>
          <w:lang w:val="cs-CZ"/>
        </w:rPr>
        <w:t xml:space="preserve">uveřejněných </w:t>
      </w:r>
      <w:r>
        <w:rPr>
          <w:sz w:val="22"/>
          <w:szCs w:val="22"/>
          <w:lang w:val="cs-CZ"/>
        </w:rPr>
        <w:t>na Platformě za účelem jejich Participace.</w:t>
      </w:r>
    </w:p>
    <w:p w14:paraId="425E65AD" w14:textId="1708CAB2" w:rsidR="00E13F9E" w:rsidRDefault="00E13F9E" w:rsidP="00E854A6">
      <w:pPr>
        <w:pStyle w:val="vodnustanoven"/>
        <w:spacing w:after="120"/>
        <w:rPr>
          <w:sz w:val="22"/>
          <w:szCs w:val="22"/>
          <w:lang w:val="cs-CZ"/>
        </w:rPr>
      </w:pPr>
      <w:r>
        <w:rPr>
          <w:sz w:val="22"/>
          <w:szCs w:val="22"/>
          <w:lang w:val="cs-CZ"/>
        </w:rPr>
        <w:t>Investor má zájem investovat prostřednictvím Platformy</w:t>
      </w:r>
      <w:r w:rsidR="00EB2CBA">
        <w:rPr>
          <w:sz w:val="22"/>
          <w:szCs w:val="22"/>
          <w:lang w:val="cs-CZ"/>
        </w:rPr>
        <w:t>.</w:t>
      </w:r>
    </w:p>
    <w:p w14:paraId="460409A4" w14:textId="6F94D789" w:rsidR="00EB2CBA" w:rsidRDefault="00EB2CBA" w:rsidP="00E854A6">
      <w:pPr>
        <w:pStyle w:val="vodnustanoven"/>
        <w:spacing w:after="120"/>
        <w:rPr>
          <w:sz w:val="22"/>
          <w:szCs w:val="22"/>
          <w:lang w:val="cs-CZ"/>
        </w:rPr>
      </w:pPr>
      <w:r>
        <w:rPr>
          <w:sz w:val="22"/>
          <w:szCs w:val="22"/>
          <w:lang w:val="cs-CZ"/>
        </w:rPr>
        <w:t>Smluvní strany mají zájem touto Rámcovou smlouvou upravit podmínky investování prostřednictvím Platformy.</w:t>
      </w:r>
    </w:p>
    <w:bookmarkEnd w:id="0"/>
    <w:p w14:paraId="4024AADC" w14:textId="76837103" w:rsidR="00622723" w:rsidRPr="00E13F9E" w:rsidRDefault="001B76C2" w:rsidP="00622723">
      <w:pPr>
        <w:rPr>
          <w:b/>
          <w:sz w:val="22"/>
          <w:szCs w:val="22"/>
          <w:lang w:val="cs-CZ"/>
        </w:rPr>
      </w:pPr>
      <w:r w:rsidRPr="00E13F9E">
        <w:rPr>
          <w:b/>
          <w:sz w:val="22"/>
          <w:szCs w:val="22"/>
          <w:lang w:val="cs-CZ"/>
        </w:rPr>
        <w:t xml:space="preserve">PROTO </w:t>
      </w:r>
      <w:r w:rsidR="00622723" w:rsidRPr="00E13F9E">
        <w:rPr>
          <w:b/>
          <w:sz w:val="22"/>
          <w:szCs w:val="22"/>
          <w:lang w:val="cs-CZ"/>
        </w:rPr>
        <w:t>SE SMLUVNÍ STRANY DOHODLY TAKTO:</w:t>
      </w:r>
    </w:p>
    <w:p w14:paraId="76FCB3B3" w14:textId="31366C71" w:rsidR="00EB2CBA" w:rsidRDefault="00EB2CBA" w:rsidP="007C6946">
      <w:pPr>
        <w:pStyle w:val="Nadpis1"/>
        <w:rPr>
          <w:sz w:val="22"/>
          <w:szCs w:val="22"/>
          <w:lang w:val="cs-CZ"/>
        </w:rPr>
      </w:pPr>
      <w:bookmarkStart w:id="1" w:name="_Ref231385833"/>
      <w:bookmarkStart w:id="2" w:name="_Toc275524355"/>
      <w:r>
        <w:rPr>
          <w:sz w:val="22"/>
          <w:szCs w:val="22"/>
          <w:lang w:val="cs-CZ"/>
        </w:rPr>
        <w:t>Úvodní ustanovení</w:t>
      </w:r>
    </w:p>
    <w:p w14:paraId="46D9A87B" w14:textId="260D8907" w:rsidR="00EB2CBA" w:rsidRDefault="00EB2CBA" w:rsidP="000B5953">
      <w:pPr>
        <w:pStyle w:val="Nadpis2"/>
        <w:spacing w:before="120" w:after="120"/>
        <w:rPr>
          <w:sz w:val="22"/>
          <w:szCs w:val="22"/>
          <w:lang w:val="cs-CZ"/>
        </w:rPr>
      </w:pPr>
      <w:r w:rsidRPr="00823FDF">
        <w:rPr>
          <w:sz w:val="22"/>
          <w:szCs w:val="22"/>
          <w:lang w:val="cs-CZ"/>
        </w:rPr>
        <w:t xml:space="preserve">Tato Rámcová smlouva upravuje </w:t>
      </w:r>
      <w:r w:rsidR="00501098">
        <w:rPr>
          <w:sz w:val="22"/>
          <w:szCs w:val="22"/>
          <w:lang w:val="cs-CZ"/>
        </w:rPr>
        <w:t xml:space="preserve">práva a povinnost smluvních stran při </w:t>
      </w:r>
      <w:r w:rsidR="00823FDF">
        <w:rPr>
          <w:sz w:val="22"/>
          <w:szCs w:val="22"/>
          <w:lang w:val="cs-CZ"/>
        </w:rPr>
        <w:t>nabytí Participací ze strany Investora</w:t>
      </w:r>
      <w:r w:rsidR="003D34C1">
        <w:rPr>
          <w:sz w:val="22"/>
          <w:szCs w:val="22"/>
          <w:lang w:val="cs-CZ"/>
        </w:rPr>
        <w:t xml:space="preserve"> a práva a povinnosti smluvních stran při Správě Participací</w:t>
      </w:r>
      <w:r w:rsidR="00501098">
        <w:rPr>
          <w:sz w:val="22"/>
          <w:szCs w:val="22"/>
          <w:lang w:val="cs-CZ"/>
        </w:rPr>
        <w:t xml:space="preserve">, a to vše za podmínek této Rámcové smlouvy </w:t>
      </w:r>
      <w:r w:rsidR="00EA4BF2">
        <w:rPr>
          <w:sz w:val="22"/>
          <w:szCs w:val="22"/>
          <w:lang w:val="cs-CZ"/>
        </w:rPr>
        <w:t xml:space="preserve">a dokumentů uvedených níže v článku </w:t>
      </w:r>
      <w:r w:rsidR="00EA4BF2">
        <w:rPr>
          <w:sz w:val="22"/>
          <w:szCs w:val="22"/>
          <w:lang w:val="cs-CZ"/>
        </w:rPr>
        <w:fldChar w:fldCharType="begin"/>
      </w:r>
      <w:r w:rsidR="00EA4BF2">
        <w:rPr>
          <w:sz w:val="22"/>
          <w:szCs w:val="22"/>
          <w:lang w:val="cs-CZ"/>
        </w:rPr>
        <w:instrText xml:space="preserve"> REF _Ref213311846 \r \h </w:instrText>
      </w:r>
      <w:r w:rsidR="00EA4BF2">
        <w:rPr>
          <w:sz w:val="22"/>
          <w:szCs w:val="22"/>
          <w:lang w:val="cs-CZ"/>
        </w:rPr>
      </w:r>
      <w:r w:rsidR="00EA4BF2">
        <w:rPr>
          <w:sz w:val="22"/>
          <w:szCs w:val="22"/>
          <w:lang w:val="cs-CZ"/>
        </w:rPr>
        <w:fldChar w:fldCharType="separate"/>
      </w:r>
      <w:r w:rsidR="00EA4BF2">
        <w:rPr>
          <w:sz w:val="22"/>
          <w:szCs w:val="22"/>
          <w:lang w:val="cs-CZ"/>
        </w:rPr>
        <w:t>1.3</w:t>
      </w:r>
      <w:r w:rsidR="00EA4BF2">
        <w:rPr>
          <w:sz w:val="22"/>
          <w:szCs w:val="22"/>
          <w:lang w:val="cs-CZ"/>
        </w:rPr>
        <w:fldChar w:fldCharType="end"/>
      </w:r>
      <w:r w:rsidR="00EA4BF2">
        <w:rPr>
          <w:sz w:val="22"/>
          <w:szCs w:val="22"/>
          <w:lang w:val="cs-CZ"/>
        </w:rPr>
        <w:t>, které jsou n</w:t>
      </w:r>
      <w:r w:rsidR="00EA4BF2" w:rsidRPr="004769F0">
        <w:rPr>
          <w:sz w:val="22"/>
          <w:szCs w:val="22"/>
          <w:lang w:val="cs-CZ"/>
        </w:rPr>
        <w:t>edílnou součástí této Rámcové smlouvy</w:t>
      </w:r>
      <w:r w:rsidR="00EA4BF2">
        <w:rPr>
          <w:sz w:val="22"/>
          <w:szCs w:val="22"/>
          <w:lang w:val="cs-CZ"/>
        </w:rPr>
        <w:t>.</w:t>
      </w:r>
    </w:p>
    <w:p w14:paraId="22CFAD10" w14:textId="25A2D4DD" w:rsidR="003D34C1" w:rsidRDefault="003D34C1" w:rsidP="000B5953">
      <w:pPr>
        <w:pStyle w:val="Nadpis2"/>
        <w:spacing w:before="120" w:after="120"/>
        <w:rPr>
          <w:sz w:val="22"/>
          <w:szCs w:val="22"/>
          <w:lang w:val="cs-CZ"/>
        </w:rPr>
      </w:pPr>
      <w:r w:rsidRPr="003D34C1">
        <w:rPr>
          <w:sz w:val="22"/>
          <w:szCs w:val="22"/>
          <w:lang w:val="cs-CZ"/>
        </w:rPr>
        <w:t xml:space="preserve">Veškeré </w:t>
      </w:r>
      <w:r>
        <w:rPr>
          <w:sz w:val="22"/>
          <w:szCs w:val="22"/>
          <w:lang w:val="cs-CZ"/>
        </w:rPr>
        <w:t xml:space="preserve">pojmy </w:t>
      </w:r>
      <w:r w:rsidRPr="003D34C1">
        <w:rPr>
          <w:sz w:val="22"/>
          <w:szCs w:val="22"/>
          <w:lang w:val="cs-CZ"/>
        </w:rPr>
        <w:t xml:space="preserve">uváděné v této </w:t>
      </w:r>
      <w:r>
        <w:rPr>
          <w:sz w:val="22"/>
          <w:szCs w:val="22"/>
          <w:lang w:val="cs-CZ"/>
        </w:rPr>
        <w:t>Rámcové s</w:t>
      </w:r>
      <w:r w:rsidRPr="003D34C1">
        <w:rPr>
          <w:sz w:val="22"/>
          <w:szCs w:val="22"/>
          <w:lang w:val="cs-CZ"/>
        </w:rPr>
        <w:t>mlouvě s velkými písmeny mají stejný význam jako</w:t>
      </w:r>
      <w:r>
        <w:rPr>
          <w:sz w:val="22"/>
          <w:szCs w:val="22"/>
          <w:lang w:val="cs-CZ"/>
        </w:rPr>
        <w:t xml:space="preserve"> pojmy uváděné s velkými písmeny </w:t>
      </w:r>
      <w:r w:rsidR="009E04D0">
        <w:rPr>
          <w:sz w:val="22"/>
          <w:szCs w:val="22"/>
          <w:lang w:val="cs-CZ"/>
        </w:rPr>
        <w:t>v</w:t>
      </w:r>
      <w:r>
        <w:rPr>
          <w:sz w:val="22"/>
          <w:szCs w:val="22"/>
          <w:lang w:val="cs-CZ"/>
        </w:rPr>
        <w:t> </w:t>
      </w:r>
      <w:r w:rsidRPr="003D34C1">
        <w:rPr>
          <w:sz w:val="22"/>
          <w:szCs w:val="22"/>
          <w:lang w:val="cs-CZ"/>
        </w:rPr>
        <w:t>obchodní</w:t>
      </w:r>
      <w:r>
        <w:rPr>
          <w:sz w:val="22"/>
          <w:szCs w:val="22"/>
          <w:lang w:val="cs-CZ"/>
        </w:rPr>
        <w:t>ch</w:t>
      </w:r>
      <w:r w:rsidRPr="003D34C1">
        <w:rPr>
          <w:sz w:val="22"/>
          <w:szCs w:val="22"/>
          <w:lang w:val="cs-CZ"/>
        </w:rPr>
        <w:t xml:space="preserve"> podmínk</w:t>
      </w:r>
      <w:r>
        <w:rPr>
          <w:sz w:val="22"/>
          <w:szCs w:val="22"/>
          <w:lang w:val="cs-CZ"/>
        </w:rPr>
        <w:t>ách</w:t>
      </w:r>
      <w:r w:rsidRPr="003D34C1">
        <w:rPr>
          <w:sz w:val="22"/>
          <w:szCs w:val="22"/>
          <w:lang w:val="cs-CZ"/>
        </w:rPr>
        <w:t xml:space="preserve"> úvěrových participací</w:t>
      </w:r>
      <w:r>
        <w:rPr>
          <w:sz w:val="22"/>
          <w:szCs w:val="22"/>
          <w:lang w:val="cs-CZ"/>
        </w:rPr>
        <w:t xml:space="preserve"> (dále jen „</w:t>
      </w:r>
      <w:r w:rsidRPr="003D34C1">
        <w:rPr>
          <w:b/>
          <w:bCs/>
          <w:sz w:val="22"/>
          <w:szCs w:val="22"/>
          <w:lang w:val="cs-CZ"/>
        </w:rPr>
        <w:t>Obchodní podmínky</w:t>
      </w:r>
      <w:r>
        <w:rPr>
          <w:sz w:val="22"/>
          <w:szCs w:val="22"/>
          <w:lang w:val="cs-CZ"/>
        </w:rPr>
        <w:t>“)</w:t>
      </w:r>
      <w:r w:rsidRPr="003D34C1">
        <w:rPr>
          <w:sz w:val="22"/>
          <w:szCs w:val="22"/>
          <w:lang w:val="cs-CZ"/>
        </w:rPr>
        <w:t>, není-li stanoveno jinak.</w:t>
      </w:r>
    </w:p>
    <w:p w14:paraId="707CA32E" w14:textId="77777777" w:rsidR="004769F0" w:rsidRPr="004769F0" w:rsidRDefault="00151B86" w:rsidP="000B5953">
      <w:pPr>
        <w:pStyle w:val="Nadpis2"/>
        <w:spacing w:before="120" w:after="120"/>
        <w:rPr>
          <w:sz w:val="22"/>
          <w:szCs w:val="22"/>
          <w:lang w:val="cs-CZ"/>
        </w:rPr>
      </w:pPr>
      <w:bookmarkStart w:id="3" w:name="_Ref213311846"/>
      <w:r w:rsidRPr="004769F0">
        <w:rPr>
          <w:sz w:val="22"/>
          <w:szCs w:val="22"/>
          <w:lang w:val="cs-CZ"/>
        </w:rPr>
        <w:t>Nedílnou součást</w:t>
      </w:r>
      <w:r w:rsidR="004769F0" w:rsidRPr="004769F0">
        <w:rPr>
          <w:sz w:val="22"/>
          <w:szCs w:val="22"/>
          <w:lang w:val="cs-CZ"/>
        </w:rPr>
        <w:t>í</w:t>
      </w:r>
      <w:r w:rsidRPr="004769F0">
        <w:rPr>
          <w:sz w:val="22"/>
          <w:szCs w:val="22"/>
          <w:lang w:val="cs-CZ"/>
        </w:rPr>
        <w:t xml:space="preserve"> této Rámcové smlouvy </w:t>
      </w:r>
      <w:r w:rsidR="004769F0" w:rsidRPr="004769F0">
        <w:rPr>
          <w:sz w:val="22"/>
          <w:szCs w:val="22"/>
          <w:lang w:val="cs-CZ"/>
        </w:rPr>
        <w:t>jsou následující dokumenty:</w:t>
      </w:r>
      <w:bookmarkEnd w:id="3"/>
    </w:p>
    <w:p w14:paraId="1ECD12E8" w14:textId="77777777" w:rsidR="004769F0" w:rsidRPr="004769F0" w:rsidRDefault="00151B86" w:rsidP="004769F0">
      <w:pPr>
        <w:pStyle w:val="Nadpis3"/>
        <w:rPr>
          <w:sz w:val="22"/>
          <w:szCs w:val="22"/>
          <w:lang w:val="cs-CZ"/>
        </w:rPr>
      </w:pPr>
      <w:r w:rsidRPr="004769F0">
        <w:rPr>
          <w:sz w:val="22"/>
          <w:szCs w:val="22"/>
          <w:lang w:val="cs-CZ"/>
        </w:rPr>
        <w:t>Obchodní podmínky</w:t>
      </w:r>
      <w:r w:rsidR="004769F0" w:rsidRPr="004769F0">
        <w:rPr>
          <w:sz w:val="22"/>
          <w:szCs w:val="22"/>
          <w:lang w:val="cs-CZ"/>
        </w:rPr>
        <w:t>;</w:t>
      </w:r>
      <w:r w:rsidRPr="004769F0">
        <w:rPr>
          <w:sz w:val="22"/>
          <w:szCs w:val="22"/>
          <w:lang w:val="cs-CZ"/>
        </w:rPr>
        <w:t xml:space="preserve"> </w:t>
      </w:r>
    </w:p>
    <w:p w14:paraId="750E4744" w14:textId="0A034B2E" w:rsidR="004769F0" w:rsidRPr="004769F0" w:rsidRDefault="00CB3FEE" w:rsidP="004769F0">
      <w:pPr>
        <w:pStyle w:val="Nadpis3"/>
        <w:rPr>
          <w:sz w:val="22"/>
          <w:szCs w:val="22"/>
          <w:lang w:val="cs-CZ"/>
        </w:rPr>
      </w:pPr>
      <w:r>
        <w:rPr>
          <w:sz w:val="22"/>
          <w:szCs w:val="22"/>
          <w:lang w:val="cs-CZ"/>
        </w:rPr>
        <w:t>S</w:t>
      </w:r>
      <w:r w:rsidR="00151B86" w:rsidRPr="004769F0">
        <w:rPr>
          <w:sz w:val="22"/>
          <w:szCs w:val="22"/>
          <w:lang w:val="cs-CZ"/>
        </w:rPr>
        <w:t>azebník poplatků</w:t>
      </w:r>
      <w:r w:rsidR="004769F0" w:rsidRPr="004769F0">
        <w:rPr>
          <w:sz w:val="22"/>
          <w:szCs w:val="22"/>
          <w:lang w:val="cs-CZ"/>
        </w:rPr>
        <w:t>;</w:t>
      </w:r>
    </w:p>
    <w:p w14:paraId="6ED253D0" w14:textId="313BB07C" w:rsidR="004769F0" w:rsidRPr="004769F0" w:rsidRDefault="002B0437" w:rsidP="004769F0">
      <w:pPr>
        <w:pStyle w:val="Nadpis3"/>
        <w:rPr>
          <w:sz w:val="22"/>
          <w:szCs w:val="22"/>
          <w:lang w:val="cs-CZ"/>
        </w:rPr>
      </w:pPr>
      <w:r>
        <w:rPr>
          <w:sz w:val="22"/>
          <w:szCs w:val="22"/>
          <w:lang w:val="cs-CZ"/>
        </w:rPr>
        <w:t>Z</w:t>
      </w:r>
      <w:r w:rsidR="00151B86" w:rsidRPr="004769F0">
        <w:rPr>
          <w:sz w:val="22"/>
          <w:szCs w:val="22"/>
          <w:lang w:val="cs-CZ"/>
        </w:rPr>
        <w:t>ásady ochrany osobních údajů</w:t>
      </w:r>
      <w:r w:rsidR="004769F0" w:rsidRPr="004769F0">
        <w:rPr>
          <w:sz w:val="22"/>
          <w:szCs w:val="22"/>
          <w:lang w:val="cs-CZ"/>
        </w:rPr>
        <w:t>; a</w:t>
      </w:r>
    </w:p>
    <w:p w14:paraId="46FED97A" w14:textId="180CF8C1" w:rsidR="004769F0" w:rsidRPr="004769F0" w:rsidRDefault="00151B86" w:rsidP="004769F0">
      <w:pPr>
        <w:pStyle w:val="Nadpis3"/>
        <w:rPr>
          <w:sz w:val="22"/>
          <w:szCs w:val="22"/>
          <w:lang w:val="cs-CZ"/>
        </w:rPr>
      </w:pPr>
      <w:r w:rsidRPr="004769F0">
        <w:rPr>
          <w:sz w:val="22"/>
          <w:szCs w:val="22"/>
          <w:lang w:val="cs-CZ"/>
        </w:rPr>
        <w:t>v případě Investora, který je spotřebitelem, také předsmluvní informace a poučení pro spotřebitel</w:t>
      </w:r>
      <w:r w:rsidR="004769F0" w:rsidRPr="004769F0">
        <w:rPr>
          <w:sz w:val="22"/>
          <w:szCs w:val="22"/>
          <w:lang w:val="cs-CZ"/>
        </w:rPr>
        <w:t>e.</w:t>
      </w:r>
    </w:p>
    <w:p w14:paraId="3BB4666B" w14:textId="2DC046BF" w:rsidR="00151B86" w:rsidRPr="004769F0" w:rsidRDefault="004769F0" w:rsidP="004769F0">
      <w:pPr>
        <w:pStyle w:val="Nadpis3"/>
        <w:numPr>
          <w:ilvl w:val="0"/>
          <w:numId w:val="0"/>
        </w:numPr>
        <w:ind w:left="709"/>
        <w:rPr>
          <w:sz w:val="22"/>
          <w:szCs w:val="22"/>
          <w:lang w:val="cs-CZ"/>
        </w:rPr>
      </w:pPr>
      <w:r w:rsidRPr="004769F0">
        <w:rPr>
          <w:sz w:val="22"/>
          <w:szCs w:val="22"/>
          <w:lang w:val="cs-CZ"/>
        </w:rPr>
        <w:t xml:space="preserve">Veškerá práva a povinnosti smluvních stran uvedená v těchto dokumentech jsou pro smluvní strany závazná, jako by byla obsažena přímo v textu této Rámcové smlouvy. </w:t>
      </w:r>
      <w:r w:rsidR="00151B86" w:rsidRPr="004769F0">
        <w:rPr>
          <w:sz w:val="22"/>
          <w:szCs w:val="22"/>
          <w:lang w:val="cs-CZ"/>
        </w:rPr>
        <w:t xml:space="preserve">Investor prohlašuje, že se před </w:t>
      </w:r>
      <w:r w:rsidR="00151B86" w:rsidRPr="004769F0">
        <w:rPr>
          <w:sz w:val="22"/>
          <w:szCs w:val="22"/>
          <w:lang w:val="cs-CZ"/>
        </w:rPr>
        <w:lastRenderedPageBreak/>
        <w:t xml:space="preserve">uzavřením této </w:t>
      </w:r>
      <w:r w:rsidRPr="004769F0">
        <w:rPr>
          <w:sz w:val="22"/>
          <w:szCs w:val="22"/>
          <w:lang w:val="cs-CZ"/>
        </w:rPr>
        <w:t>Rámcové s</w:t>
      </w:r>
      <w:r w:rsidR="00151B86" w:rsidRPr="004769F0">
        <w:rPr>
          <w:sz w:val="22"/>
          <w:szCs w:val="22"/>
          <w:lang w:val="cs-CZ"/>
        </w:rPr>
        <w:t xml:space="preserve">mlouvy seznámil </w:t>
      </w:r>
      <w:r w:rsidRPr="004769F0">
        <w:rPr>
          <w:sz w:val="22"/>
          <w:szCs w:val="22"/>
          <w:lang w:val="cs-CZ"/>
        </w:rPr>
        <w:t>s dokumenty uvedenými výše, což uzavřením této Rámcové smlouvy potvrzuje.</w:t>
      </w:r>
    </w:p>
    <w:p w14:paraId="59BB993B" w14:textId="714B760D" w:rsidR="00622723" w:rsidRPr="00E13F9E" w:rsidRDefault="00622723" w:rsidP="007C6946">
      <w:pPr>
        <w:pStyle w:val="Nadpis1"/>
        <w:rPr>
          <w:sz w:val="22"/>
          <w:szCs w:val="22"/>
          <w:lang w:val="cs-CZ"/>
        </w:rPr>
      </w:pPr>
      <w:r w:rsidRPr="00E13F9E">
        <w:rPr>
          <w:sz w:val="22"/>
          <w:szCs w:val="22"/>
          <w:lang w:val="cs-CZ"/>
        </w:rPr>
        <w:t>PŘEDMĚT SMLOUVY</w:t>
      </w:r>
      <w:bookmarkEnd w:id="1"/>
      <w:bookmarkEnd w:id="2"/>
    </w:p>
    <w:p w14:paraId="2F243358" w14:textId="378DE85E" w:rsidR="004769F0" w:rsidRDefault="00EA4BF2" w:rsidP="000B5953">
      <w:pPr>
        <w:pStyle w:val="Nadpis2"/>
        <w:spacing w:before="120" w:after="120"/>
        <w:rPr>
          <w:sz w:val="22"/>
          <w:szCs w:val="22"/>
          <w:lang w:val="cs-CZ"/>
        </w:rPr>
      </w:pPr>
      <w:proofErr w:type="spellStart"/>
      <w:r>
        <w:rPr>
          <w:sz w:val="22"/>
          <w:szCs w:val="22"/>
          <w:lang w:val="cs-CZ"/>
        </w:rPr>
        <w:t>Bankee</w:t>
      </w:r>
      <w:proofErr w:type="spellEnd"/>
      <w:r>
        <w:rPr>
          <w:sz w:val="22"/>
          <w:szCs w:val="22"/>
          <w:lang w:val="cs-CZ"/>
        </w:rPr>
        <w:t xml:space="preserve"> se zavazuje, že Investorovi umožní dle pravidel uvedených v této Rámcové smlouvě a Obchodních podmínkách nabývat Participace, a to postoupením </w:t>
      </w:r>
      <w:r w:rsidR="00D0159A">
        <w:rPr>
          <w:sz w:val="22"/>
          <w:szCs w:val="22"/>
          <w:lang w:val="cs-CZ"/>
        </w:rPr>
        <w:t>pohledávky z příslušného Úvěru ve</w:t>
      </w:r>
      <w:r w:rsidR="009E04D0">
        <w:rPr>
          <w:sz w:val="22"/>
          <w:szCs w:val="22"/>
          <w:lang w:val="cs-CZ"/>
        </w:rPr>
        <w:t> </w:t>
      </w:r>
      <w:r w:rsidR="00D0159A">
        <w:rPr>
          <w:sz w:val="22"/>
          <w:szCs w:val="22"/>
          <w:lang w:val="cs-CZ"/>
        </w:rPr>
        <w:t>výši přijaté Objednávky Investora k nabytí Participace a dle specifikace uvedené na Platformě. Investor v této souvislosti bere na vědomí a výslovně souhlasí s rozsahem postoupení pohledávky ve</w:t>
      </w:r>
      <w:r w:rsidR="006F652F">
        <w:rPr>
          <w:sz w:val="22"/>
          <w:szCs w:val="22"/>
          <w:lang w:val="cs-CZ"/>
        </w:rPr>
        <w:t> </w:t>
      </w:r>
      <w:r w:rsidR="00D0159A">
        <w:rPr>
          <w:sz w:val="22"/>
          <w:szCs w:val="22"/>
          <w:lang w:val="cs-CZ"/>
        </w:rPr>
        <w:t xml:space="preserve">formě participace dle části </w:t>
      </w:r>
      <w:r w:rsidR="006F652F">
        <w:rPr>
          <w:sz w:val="22"/>
          <w:szCs w:val="22"/>
          <w:lang w:val="cs-CZ"/>
        </w:rPr>
        <w:fldChar w:fldCharType="begin"/>
      </w:r>
      <w:r w:rsidR="006F652F">
        <w:rPr>
          <w:sz w:val="22"/>
          <w:szCs w:val="22"/>
          <w:lang w:val="cs-CZ"/>
        </w:rPr>
        <w:instrText xml:space="preserve"> REF _Ref213315493 \r \h </w:instrText>
      </w:r>
      <w:r w:rsidR="006F652F">
        <w:rPr>
          <w:sz w:val="22"/>
          <w:szCs w:val="22"/>
          <w:lang w:val="cs-CZ"/>
        </w:rPr>
      </w:r>
      <w:r w:rsidR="006F652F">
        <w:rPr>
          <w:sz w:val="22"/>
          <w:szCs w:val="22"/>
          <w:lang w:val="cs-CZ"/>
        </w:rPr>
        <w:fldChar w:fldCharType="separate"/>
      </w:r>
      <w:r w:rsidR="006F652F">
        <w:rPr>
          <w:sz w:val="22"/>
          <w:szCs w:val="22"/>
          <w:lang w:val="cs-CZ"/>
        </w:rPr>
        <w:t>3</w:t>
      </w:r>
      <w:r w:rsidR="006F652F">
        <w:rPr>
          <w:sz w:val="22"/>
          <w:szCs w:val="22"/>
          <w:lang w:val="cs-CZ"/>
        </w:rPr>
        <w:fldChar w:fldCharType="end"/>
      </w:r>
      <w:r w:rsidR="00D0159A">
        <w:rPr>
          <w:sz w:val="22"/>
          <w:szCs w:val="22"/>
          <w:lang w:val="cs-CZ"/>
        </w:rPr>
        <w:t xml:space="preserve"> této Rámcové smlouvy. </w:t>
      </w:r>
    </w:p>
    <w:p w14:paraId="1752B1AE" w14:textId="2A36581F" w:rsidR="004769F0" w:rsidRDefault="00C4210F" w:rsidP="000B5953">
      <w:pPr>
        <w:pStyle w:val="Nadpis2"/>
        <w:spacing w:before="120" w:after="120"/>
        <w:rPr>
          <w:sz w:val="22"/>
          <w:szCs w:val="22"/>
          <w:lang w:val="cs-CZ"/>
        </w:rPr>
      </w:pPr>
      <w:r w:rsidRPr="00C4210F">
        <w:rPr>
          <w:sz w:val="22"/>
          <w:szCs w:val="22"/>
          <w:lang w:val="cs-CZ"/>
        </w:rPr>
        <w:t xml:space="preserve">Investor se zavazuje, že za </w:t>
      </w:r>
      <w:r>
        <w:rPr>
          <w:sz w:val="22"/>
          <w:szCs w:val="22"/>
          <w:lang w:val="cs-CZ"/>
        </w:rPr>
        <w:t xml:space="preserve">nabytí </w:t>
      </w:r>
      <w:r w:rsidRPr="00C4210F">
        <w:rPr>
          <w:sz w:val="22"/>
          <w:szCs w:val="22"/>
          <w:lang w:val="cs-CZ"/>
        </w:rPr>
        <w:t>Participace za podmínek upravených v</w:t>
      </w:r>
      <w:r>
        <w:rPr>
          <w:sz w:val="22"/>
          <w:szCs w:val="22"/>
          <w:lang w:val="cs-CZ"/>
        </w:rPr>
        <w:t> Obchodních podmínkách zaplatí</w:t>
      </w:r>
      <w:r w:rsidRPr="00C4210F">
        <w:rPr>
          <w:sz w:val="22"/>
          <w:szCs w:val="22"/>
          <w:lang w:val="cs-CZ"/>
        </w:rPr>
        <w:t xml:space="preserve"> </w:t>
      </w:r>
      <w:proofErr w:type="spellStart"/>
      <w:r>
        <w:rPr>
          <w:sz w:val="22"/>
          <w:szCs w:val="22"/>
          <w:lang w:val="cs-CZ"/>
        </w:rPr>
        <w:t>Bankee</w:t>
      </w:r>
      <w:proofErr w:type="spellEnd"/>
      <w:r w:rsidRPr="00C4210F">
        <w:rPr>
          <w:sz w:val="22"/>
          <w:szCs w:val="22"/>
          <w:lang w:val="cs-CZ"/>
        </w:rPr>
        <w:t xml:space="preserve"> </w:t>
      </w:r>
      <w:r w:rsidR="00E615B3">
        <w:rPr>
          <w:sz w:val="22"/>
          <w:szCs w:val="22"/>
          <w:lang w:val="cs-CZ"/>
        </w:rPr>
        <w:t>Investovanou částku, jakožto úplatu za nabytí Participace</w:t>
      </w:r>
      <w:r w:rsidR="001F08D8">
        <w:rPr>
          <w:sz w:val="22"/>
          <w:szCs w:val="22"/>
          <w:lang w:val="cs-CZ"/>
        </w:rPr>
        <w:t>.</w:t>
      </w:r>
    </w:p>
    <w:p w14:paraId="1D38F1C3" w14:textId="2269F19A" w:rsidR="001F08D8" w:rsidRPr="002E22B2" w:rsidRDefault="001F08D8" w:rsidP="000B5953">
      <w:pPr>
        <w:pStyle w:val="Nadpis2"/>
        <w:spacing w:before="120" w:after="120"/>
        <w:rPr>
          <w:sz w:val="22"/>
          <w:szCs w:val="22"/>
          <w:lang w:val="cs-CZ"/>
        </w:rPr>
      </w:pPr>
      <w:proofErr w:type="spellStart"/>
      <w:r w:rsidRPr="002E22B2">
        <w:rPr>
          <w:sz w:val="22"/>
          <w:szCs w:val="22"/>
          <w:lang w:val="cs-CZ"/>
        </w:rPr>
        <w:t>Bankee</w:t>
      </w:r>
      <w:proofErr w:type="spellEnd"/>
      <w:r w:rsidRPr="002E22B2">
        <w:rPr>
          <w:sz w:val="22"/>
          <w:szCs w:val="22"/>
          <w:lang w:val="cs-CZ"/>
        </w:rPr>
        <w:t xml:space="preserve"> se dále zavazuje vykonávat pro Investor</w:t>
      </w:r>
      <w:r w:rsidR="00FD6E68" w:rsidRPr="002E22B2">
        <w:rPr>
          <w:sz w:val="22"/>
          <w:szCs w:val="22"/>
          <w:lang w:val="cs-CZ"/>
        </w:rPr>
        <w:t xml:space="preserve">a </w:t>
      </w:r>
      <w:r w:rsidRPr="002E22B2">
        <w:rPr>
          <w:sz w:val="22"/>
          <w:szCs w:val="22"/>
          <w:lang w:val="cs-CZ"/>
        </w:rPr>
        <w:t xml:space="preserve">Správu Participací </w:t>
      </w:r>
      <w:r w:rsidR="005026D2" w:rsidRPr="002E22B2">
        <w:rPr>
          <w:sz w:val="22"/>
          <w:szCs w:val="22"/>
          <w:lang w:val="cs-CZ"/>
        </w:rPr>
        <w:t xml:space="preserve">v rozsahu a dle pravidel </w:t>
      </w:r>
      <w:r w:rsidRPr="002E22B2">
        <w:rPr>
          <w:sz w:val="22"/>
          <w:szCs w:val="22"/>
          <w:lang w:val="cs-CZ"/>
        </w:rPr>
        <w:t xml:space="preserve">uvedených v části </w:t>
      </w:r>
      <w:r w:rsidRPr="002E22B2">
        <w:rPr>
          <w:sz w:val="22"/>
          <w:szCs w:val="22"/>
          <w:lang w:val="cs-CZ"/>
        </w:rPr>
        <w:fldChar w:fldCharType="begin"/>
      </w:r>
      <w:r w:rsidRPr="002E22B2">
        <w:rPr>
          <w:sz w:val="22"/>
          <w:szCs w:val="22"/>
          <w:lang w:val="cs-CZ"/>
        </w:rPr>
        <w:instrText xml:space="preserve"> REF _Ref213320435 \r \h </w:instrText>
      </w:r>
      <w:r w:rsidR="00FD6E68" w:rsidRPr="002E22B2">
        <w:rPr>
          <w:sz w:val="22"/>
          <w:szCs w:val="22"/>
          <w:lang w:val="cs-CZ"/>
        </w:rPr>
        <w:instrText xml:space="preserve"> \* MERGEFORMAT </w:instrText>
      </w:r>
      <w:r w:rsidRPr="002E22B2">
        <w:rPr>
          <w:sz w:val="22"/>
          <w:szCs w:val="22"/>
          <w:lang w:val="cs-CZ"/>
        </w:rPr>
      </w:r>
      <w:r w:rsidRPr="002E22B2">
        <w:rPr>
          <w:sz w:val="22"/>
          <w:szCs w:val="22"/>
          <w:lang w:val="cs-CZ"/>
        </w:rPr>
        <w:fldChar w:fldCharType="separate"/>
      </w:r>
      <w:r w:rsidRPr="002E22B2">
        <w:rPr>
          <w:sz w:val="22"/>
          <w:szCs w:val="22"/>
          <w:lang w:val="cs-CZ"/>
        </w:rPr>
        <w:t>4</w:t>
      </w:r>
      <w:r w:rsidRPr="002E22B2">
        <w:rPr>
          <w:sz w:val="22"/>
          <w:szCs w:val="22"/>
          <w:lang w:val="cs-CZ"/>
        </w:rPr>
        <w:fldChar w:fldCharType="end"/>
      </w:r>
      <w:r w:rsidRPr="002E22B2">
        <w:rPr>
          <w:sz w:val="22"/>
          <w:szCs w:val="22"/>
          <w:lang w:val="cs-CZ"/>
        </w:rPr>
        <w:t xml:space="preserve"> této Rámcové smlouvy a </w:t>
      </w:r>
      <w:r w:rsidR="007C088F" w:rsidRPr="002E22B2">
        <w:rPr>
          <w:sz w:val="22"/>
          <w:szCs w:val="22"/>
          <w:lang w:val="cs-CZ"/>
        </w:rPr>
        <w:t xml:space="preserve">článku 5 </w:t>
      </w:r>
      <w:r w:rsidRPr="002E22B2">
        <w:rPr>
          <w:sz w:val="22"/>
          <w:szCs w:val="22"/>
          <w:lang w:val="cs-CZ"/>
        </w:rPr>
        <w:t>Obchodních podmín</w:t>
      </w:r>
      <w:r w:rsidR="007C088F" w:rsidRPr="002E22B2">
        <w:rPr>
          <w:sz w:val="22"/>
          <w:szCs w:val="22"/>
          <w:lang w:val="cs-CZ"/>
        </w:rPr>
        <w:t>ek</w:t>
      </w:r>
      <w:r w:rsidR="005026D2" w:rsidRPr="002E22B2">
        <w:rPr>
          <w:sz w:val="22"/>
          <w:szCs w:val="22"/>
          <w:lang w:val="cs-CZ"/>
        </w:rPr>
        <w:t xml:space="preserve">, včetně vymáhání Splatných pohledávek podle části </w:t>
      </w:r>
      <w:r w:rsidR="005026D2" w:rsidRPr="002E22B2">
        <w:rPr>
          <w:sz w:val="22"/>
          <w:szCs w:val="22"/>
          <w:lang w:val="cs-CZ"/>
        </w:rPr>
        <w:fldChar w:fldCharType="begin"/>
      </w:r>
      <w:r w:rsidR="005026D2" w:rsidRPr="002E22B2">
        <w:rPr>
          <w:sz w:val="22"/>
          <w:szCs w:val="22"/>
          <w:lang w:val="cs-CZ"/>
        </w:rPr>
        <w:instrText xml:space="preserve"> REF _Ref213421187 \r \h  \* MERGEFORMAT </w:instrText>
      </w:r>
      <w:r w:rsidR="005026D2" w:rsidRPr="002E22B2">
        <w:rPr>
          <w:sz w:val="22"/>
          <w:szCs w:val="22"/>
          <w:lang w:val="cs-CZ"/>
        </w:rPr>
      </w:r>
      <w:r w:rsidR="005026D2" w:rsidRPr="002E22B2">
        <w:rPr>
          <w:sz w:val="22"/>
          <w:szCs w:val="22"/>
          <w:lang w:val="cs-CZ"/>
        </w:rPr>
        <w:fldChar w:fldCharType="separate"/>
      </w:r>
      <w:r w:rsidR="005026D2" w:rsidRPr="002E22B2">
        <w:rPr>
          <w:sz w:val="22"/>
          <w:szCs w:val="22"/>
          <w:lang w:val="cs-CZ"/>
        </w:rPr>
        <w:t>5</w:t>
      </w:r>
      <w:r w:rsidR="005026D2" w:rsidRPr="002E22B2">
        <w:rPr>
          <w:sz w:val="22"/>
          <w:szCs w:val="22"/>
          <w:lang w:val="cs-CZ"/>
        </w:rPr>
        <w:fldChar w:fldCharType="end"/>
      </w:r>
      <w:r w:rsidR="005026D2" w:rsidRPr="002E22B2">
        <w:rPr>
          <w:sz w:val="22"/>
          <w:szCs w:val="22"/>
          <w:lang w:val="cs-CZ"/>
        </w:rPr>
        <w:t xml:space="preserve"> této Rámcové smlouvy a realizaci Zajištění podle dle části </w:t>
      </w:r>
      <w:r w:rsidR="005026D2" w:rsidRPr="002E22B2">
        <w:rPr>
          <w:sz w:val="22"/>
          <w:szCs w:val="22"/>
          <w:lang w:val="cs-CZ"/>
        </w:rPr>
        <w:fldChar w:fldCharType="begin"/>
      </w:r>
      <w:r w:rsidR="005026D2" w:rsidRPr="002E22B2">
        <w:rPr>
          <w:sz w:val="22"/>
          <w:szCs w:val="22"/>
          <w:lang w:val="cs-CZ"/>
        </w:rPr>
        <w:instrText xml:space="preserve"> REF _Ref213421205 \r \h  \* MERGEFORMAT </w:instrText>
      </w:r>
      <w:r w:rsidR="005026D2" w:rsidRPr="002E22B2">
        <w:rPr>
          <w:sz w:val="22"/>
          <w:szCs w:val="22"/>
          <w:lang w:val="cs-CZ"/>
        </w:rPr>
      </w:r>
      <w:r w:rsidR="005026D2" w:rsidRPr="002E22B2">
        <w:rPr>
          <w:sz w:val="22"/>
          <w:szCs w:val="22"/>
          <w:lang w:val="cs-CZ"/>
        </w:rPr>
        <w:fldChar w:fldCharType="separate"/>
      </w:r>
      <w:r w:rsidR="005026D2" w:rsidRPr="002E22B2">
        <w:rPr>
          <w:sz w:val="22"/>
          <w:szCs w:val="22"/>
          <w:lang w:val="cs-CZ"/>
        </w:rPr>
        <w:t>6</w:t>
      </w:r>
      <w:r w:rsidR="005026D2" w:rsidRPr="002E22B2">
        <w:rPr>
          <w:sz w:val="22"/>
          <w:szCs w:val="22"/>
          <w:lang w:val="cs-CZ"/>
        </w:rPr>
        <w:fldChar w:fldCharType="end"/>
      </w:r>
      <w:r w:rsidR="005026D2" w:rsidRPr="002E22B2">
        <w:rPr>
          <w:sz w:val="22"/>
          <w:szCs w:val="22"/>
          <w:lang w:val="cs-CZ"/>
        </w:rPr>
        <w:t xml:space="preserve"> této Rámcové smlouvy, to vše </w:t>
      </w:r>
      <w:r w:rsidR="002E22B2" w:rsidRPr="002E22B2">
        <w:rPr>
          <w:sz w:val="22"/>
          <w:szCs w:val="22"/>
          <w:lang w:val="cs-CZ"/>
        </w:rPr>
        <w:t xml:space="preserve">dále </w:t>
      </w:r>
      <w:r w:rsidR="005026D2" w:rsidRPr="002E22B2">
        <w:rPr>
          <w:sz w:val="22"/>
          <w:szCs w:val="22"/>
          <w:lang w:val="cs-CZ"/>
        </w:rPr>
        <w:t xml:space="preserve">v souladu </w:t>
      </w:r>
      <w:r w:rsidR="002E22B2" w:rsidRPr="002E22B2">
        <w:rPr>
          <w:sz w:val="22"/>
          <w:szCs w:val="22"/>
          <w:lang w:val="cs-CZ"/>
        </w:rPr>
        <w:t>s Obchodními podmínkami.</w:t>
      </w:r>
    </w:p>
    <w:p w14:paraId="285D1487" w14:textId="5A70EEB2" w:rsidR="004769F0" w:rsidRPr="00D0159A" w:rsidRDefault="00D0159A" w:rsidP="00D0159A">
      <w:pPr>
        <w:pStyle w:val="Nadpis1"/>
        <w:rPr>
          <w:sz w:val="22"/>
          <w:szCs w:val="22"/>
          <w:lang w:val="cs-CZ"/>
        </w:rPr>
      </w:pPr>
      <w:bookmarkStart w:id="4" w:name="_Ref213315493"/>
      <w:r>
        <w:rPr>
          <w:sz w:val="22"/>
          <w:szCs w:val="22"/>
          <w:lang w:val="cs-CZ"/>
        </w:rPr>
        <w:t xml:space="preserve">Obsah </w:t>
      </w:r>
      <w:r w:rsidRPr="00D0159A">
        <w:rPr>
          <w:sz w:val="22"/>
          <w:szCs w:val="22"/>
          <w:lang w:val="cs-CZ"/>
        </w:rPr>
        <w:t>participace</w:t>
      </w:r>
      <w:r>
        <w:rPr>
          <w:sz w:val="22"/>
          <w:szCs w:val="22"/>
          <w:lang w:val="cs-CZ"/>
        </w:rPr>
        <w:t xml:space="preserve"> postoupené na Investora</w:t>
      </w:r>
      <w:bookmarkEnd w:id="4"/>
    </w:p>
    <w:p w14:paraId="30565C4F" w14:textId="2222D634" w:rsidR="00683E5D" w:rsidRPr="002E22B2" w:rsidRDefault="00153EBA" w:rsidP="002E22B2">
      <w:pPr>
        <w:pStyle w:val="Nadpis2"/>
        <w:spacing w:before="120" w:after="120"/>
        <w:rPr>
          <w:sz w:val="22"/>
          <w:szCs w:val="22"/>
          <w:lang w:val="cs-CZ"/>
        </w:rPr>
      </w:pPr>
      <w:r>
        <w:rPr>
          <w:sz w:val="22"/>
          <w:szCs w:val="22"/>
          <w:lang w:val="cs-CZ"/>
        </w:rPr>
        <w:t>Postoupením pohledávky z příslušného Úvěru</w:t>
      </w:r>
      <w:r w:rsidR="00683E5D">
        <w:rPr>
          <w:sz w:val="22"/>
          <w:szCs w:val="22"/>
          <w:lang w:val="cs-CZ"/>
        </w:rPr>
        <w:t xml:space="preserve"> </w:t>
      </w:r>
      <w:r>
        <w:rPr>
          <w:sz w:val="22"/>
          <w:szCs w:val="22"/>
          <w:lang w:val="cs-CZ"/>
        </w:rPr>
        <w:t xml:space="preserve">se Investor </w:t>
      </w:r>
      <w:r w:rsidR="00683E5D">
        <w:rPr>
          <w:sz w:val="22"/>
          <w:szCs w:val="22"/>
          <w:lang w:val="cs-CZ"/>
        </w:rPr>
        <w:t xml:space="preserve">stává věřitelem Úvěrovaného a nabývá právo </w:t>
      </w:r>
      <w:r w:rsidR="0068617D">
        <w:rPr>
          <w:sz w:val="22"/>
          <w:szCs w:val="22"/>
          <w:lang w:val="cs-CZ"/>
        </w:rPr>
        <w:t>na Plnění</w:t>
      </w:r>
      <w:r w:rsidR="00A12737">
        <w:rPr>
          <w:sz w:val="22"/>
          <w:szCs w:val="22"/>
          <w:lang w:val="cs-CZ"/>
        </w:rPr>
        <w:t xml:space="preserve"> vyplývající</w:t>
      </w:r>
      <w:r w:rsidR="00683E5D">
        <w:rPr>
          <w:sz w:val="22"/>
          <w:szCs w:val="22"/>
          <w:lang w:val="cs-CZ"/>
        </w:rPr>
        <w:t xml:space="preserve"> z</w:t>
      </w:r>
      <w:r>
        <w:rPr>
          <w:sz w:val="22"/>
          <w:szCs w:val="22"/>
          <w:lang w:val="cs-CZ"/>
        </w:rPr>
        <w:t> </w:t>
      </w:r>
      <w:r w:rsidR="00683E5D">
        <w:rPr>
          <w:sz w:val="22"/>
          <w:szCs w:val="22"/>
          <w:lang w:val="cs-CZ"/>
        </w:rPr>
        <w:t>Úvěr</w:t>
      </w:r>
      <w:r>
        <w:rPr>
          <w:sz w:val="22"/>
          <w:szCs w:val="22"/>
          <w:lang w:val="cs-CZ"/>
        </w:rPr>
        <w:t>ové smlouvy</w:t>
      </w:r>
      <w:r w:rsidR="00A12737">
        <w:rPr>
          <w:sz w:val="22"/>
          <w:szCs w:val="22"/>
          <w:lang w:val="cs-CZ"/>
        </w:rPr>
        <w:t>, které</w:t>
      </w:r>
      <w:r w:rsidR="00683E5D">
        <w:rPr>
          <w:sz w:val="22"/>
          <w:szCs w:val="22"/>
          <w:lang w:val="cs-CZ"/>
        </w:rPr>
        <w:t xml:space="preserve"> vznik</w:t>
      </w:r>
      <w:r w:rsidR="00A12737">
        <w:rPr>
          <w:sz w:val="22"/>
          <w:szCs w:val="22"/>
          <w:lang w:val="cs-CZ"/>
        </w:rPr>
        <w:t>nou</w:t>
      </w:r>
      <w:r w:rsidR="00683E5D">
        <w:rPr>
          <w:sz w:val="22"/>
          <w:szCs w:val="22"/>
          <w:lang w:val="cs-CZ"/>
        </w:rPr>
        <w:t xml:space="preserve"> po nabytí Participace</w:t>
      </w:r>
      <w:r w:rsidR="00A12737">
        <w:rPr>
          <w:sz w:val="22"/>
          <w:szCs w:val="22"/>
          <w:lang w:val="cs-CZ"/>
        </w:rPr>
        <w:t xml:space="preserve">. Tato práva Investora se uplatní </w:t>
      </w:r>
      <w:r w:rsidR="002E22B2">
        <w:rPr>
          <w:sz w:val="22"/>
          <w:szCs w:val="22"/>
          <w:lang w:val="cs-CZ"/>
        </w:rPr>
        <w:t>v poměru výše</w:t>
      </w:r>
      <w:r w:rsidR="00A12737" w:rsidRPr="002E22B2">
        <w:rPr>
          <w:sz w:val="22"/>
          <w:szCs w:val="22"/>
          <w:lang w:val="cs-CZ"/>
        </w:rPr>
        <w:t xml:space="preserve"> Participace Investora vůči souhrnu všech Participací ostatních investorů a pohledávky </w:t>
      </w:r>
      <w:proofErr w:type="spellStart"/>
      <w:r w:rsidR="00A12737" w:rsidRPr="002E22B2">
        <w:rPr>
          <w:sz w:val="22"/>
          <w:szCs w:val="22"/>
          <w:lang w:val="cs-CZ"/>
        </w:rPr>
        <w:t>Bankee</w:t>
      </w:r>
      <w:proofErr w:type="spellEnd"/>
      <w:r w:rsidR="00A12737" w:rsidRPr="002E22B2">
        <w:rPr>
          <w:sz w:val="22"/>
          <w:szCs w:val="22"/>
          <w:lang w:val="cs-CZ"/>
        </w:rPr>
        <w:t xml:space="preserve"> z</w:t>
      </w:r>
      <w:r w:rsidR="00C4210F" w:rsidRPr="002E22B2">
        <w:rPr>
          <w:sz w:val="22"/>
          <w:szCs w:val="22"/>
          <w:lang w:val="cs-CZ"/>
        </w:rPr>
        <w:t> Ú</w:t>
      </w:r>
      <w:r w:rsidR="00A12737" w:rsidRPr="002E22B2">
        <w:rPr>
          <w:sz w:val="22"/>
          <w:szCs w:val="22"/>
          <w:lang w:val="cs-CZ"/>
        </w:rPr>
        <w:t>věru</w:t>
      </w:r>
      <w:r w:rsidR="00C4210F" w:rsidRPr="002E22B2">
        <w:rPr>
          <w:sz w:val="22"/>
          <w:szCs w:val="22"/>
          <w:lang w:val="cs-CZ"/>
        </w:rPr>
        <w:t xml:space="preserve"> ve</w:t>
      </w:r>
      <w:r w:rsidR="00683E5D" w:rsidRPr="002E22B2">
        <w:rPr>
          <w:sz w:val="22"/>
          <w:szCs w:val="22"/>
          <w:lang w:val="cs-CZ"/>
        </w:rPr>
        <w:t xml:space="preserve"> výši, která nebyla postoupena na Investory (dále jen „</w:t>
      </w:r>
      <w:r w:rsidR="00683E5D" w:rsidRPr="002E22B2">
        <w:rPr>
          <w:b/>
          <w:bCs/>
          <w:sz w:val="22"/>
          <w:szCs w:val="22"/>
          <w:lang w:val="cs-CZ"/>
        </w:rPr>
        <w:t>Zbývající pohledávka</w:t>
      </w:r>
      <w:r w:rsidR="00683E5D" w:rsidRPr="002E22B2">
        <w:rPr>
          <w:sz w:val="22"/>
          <w:szCs w:val="22"/>
          <w:lang w:val="cs-CZ"/>
        </w:rPr>
        <w:t xml:space="preserve">“). Zbývající pohledávka tvoří rozdíl </w:t>
      </w:r>
      <w:r w:rsidRPr="002E22B2">
        <w:rPr>
          <w:sz w:val="22"/>
          <w:szCs w:val="22"/>
          <w:lang w:val="cs-CZ"/>
        </w:rPr>
        <w:t>mezi celkovou pohledávkou z Úvěru a součtem všech Participací Investorů na Úvěru.</w:t>
      </w:r>
    </w:p>
    <w:p w14:paraId="700AE0B3" w14:textId="446D0EFB" w:rsidR="00CB2F4F" w:rsidRDefault="00153EBA" w:rsidP="000B5953">
      <w:pPr>
        <w:pStyle w:val="Nadpis2"/>
        <w:spacing w:before="120" w:after="120"/>
        <w:rPr>
          <w:sz w:val="22"/>
          <w:szCs w:val="22"/>
          <w:lang w:val="cs-CZ"/>
        </w:rPr>
      </w:pPr>
      <w:r>
        <w:rPr>
          <w:sz w:val="22"/>
          <w:szCs w:val="22"/>
          <w:lang w:val="cs-CZ"/>
        </w:rPr>
        <w:t>S p</w:t>
      </w:r>
      <w:r w:rsidRPr="00153EBA">
        <w:rPr>
          <w:sz w:val="22"/>
          <w:szCs w:val="22"/>
          <w:lang w:val="cs-CZ"/>
        </w:rPr>
        <w:t xml:space="preserve">ostoupením </w:t>
      </w:r>
      <w:r>
        <w:rPr>
          <w:sz w:val="22"/>
          <w:szCs w:val="22"/>
          <w:lang w:val="cs-CZ"/>
        </w:rPr>
        <w:t>pohledávky z příslušného Úvěru na Investora je spojeno</w:t>
      </w:r>
      <w:r w:rsidRPr="00153EBA">
        <w:rPr>
          <w:sz w:val="22"/>
          <w:szCs w:val="22"/>
          <w:lang w:val="cs-CZ"/>
        </w:rPr>
        <w:t xml:space="preserve"> </w:t>
      </w:r>
      <w:r w:rsidR="00C4210F">
        <w:rPr>
          <w:sz w:val="22"/>
          <w:szCs w:val="22"/>
          <w:lang w:val="cs-CZ"/>
        </w:rPr>
        <w:t xml:space="preserve">také </w:t>
      </w:r>
      <w:r w:rsidRPr="00153EBA">
        <w:rPr>
          <w:sz w:val="22"/>
          <w:szCs w:val="22"/>
          <w:lang w:val="cs-CZ"/>
        </w:rPr>
        <w:t xml:space="preserve">právo </w:t>
      </w:r>
      <w:r>
        <w:rPr>
          <w:sz w:val="22"/>
          <w:szCs w:val="22"/>
          <w:lang w:val="cs-CZ"/>
        </w:rPr>
        <w:t xml:space="preserve">Investora </w:t>
      </w:r>
      <w:r w:rsidRPr="00153EBA">
        <w:rPr>
          <w:sz w:val="22"/>
          <w:szCs w:val="22"/>
          <w:lang w:val="cs-CZ"/>
        </w:rPr>
        <w:t>na výtěžek z</w:t>
      </w:r>
      <w:r w:rsidR="00066E3C">
        <w:rPr>
          <w:sz w:val="22"/>
          <w:szCs w:val="22"/>
          <w:lang w:val="cs-CZ"/>
        </w:rPr>
        <w:t> </w:t>
      </w:r>
      <w:r w:rsidRPr="00153EBA">
        <w:rPr>
          <w:sz w:val="22"/>
          <w:szCs w:val="22"/>
          <w:lang w:val="cs-CZ"/>
        </w:rPr>
        <w:t>realizace Zajištění v</w:t>
      </w:r>
      <w:r>
        <w:rPr>
          <w:sz w:val="22"/>
          <w:szCs w:val="22"/>
          <w:lang w:val="cs-CZ"/>
        </w:rPr>
        <w:t> </w:t>
      </w:r>
      <w:r w:rsidRPr="00153EBA">
        <w:rPr>
          <w:sz w:val="22"/>
          <w:szCs w:val="22"/>
          <w:lang w:val="cs-CZ"/>
        </w:rPr>
        <w:t>rozsahu</w:t>
      </w:r>
      <w:r>
        <w:rPr>
          <w:sz w:val="22"/>
          <w:szCs w:val="22"/>
          <w:lang w:val="cs-CZ"/>
        </w:rPr>
        <w:t xml:space="preserve"> </w:t>
      </w:r>
      <w:r w:rsidR="00C4210F">
        <w:rPr>
          <w:sz w:val="22"/>
          <w:szCs w:val="22"/>
          <w:lang w:val="cs-CZ"/>
        </w:rPr>
        <w:t xml:space="preserve">odpovídajícím </w:t>
      </w:r>
      <w:r w:rsidRPr="00153EBA">
        <w:rPr>
          <w:sz w:val="22"/>
          <w:szCs w:val="22"/>
          <w:lang w:val="cs-CZ"/>
        </w:rPr>
        <w:t>Participac</w:t>
      </w:r>
      <w:r w:rsidR="00C4210F">
        <w:rPr>
          <w:sz w:val="22"/>
          <w:szCs w:val="22"/>
          <w:lang w:val="cs-CZ"/>
        </w:rPr>
        <w:t>i Investora</w:t>
      </w:r>
      <w:r w:rsidRPr="00153EBA">
        <w:rPr>
          <w:sz w:val="22"/>
          <w:szCs w:val="22"/>
          <w:lang w:val="cs-CZ"/>
        </w:rPr>
        <w:t>, to vše v souladu se</w:t>
      </w:r>
      <w:r w:rsidR="00CB2F4F">
        <w:rPr>
          <w:sz w:val="22"/>
          <w:szCs w:val="22"/>
          <w:lang w:val="cs-CZ"/>
        </w:rPr>
        <w:t xml:space="preserve"> Zajišťovacím dokumentem</w:t>
      </w:r>
      <w:r>
        <w:rPr>
          <w:sz w:val="22"/>
          <w:szCs w:val="22"/>
          <w:lang w:val="cs-CZ"/>
        </w:rPr>
        <w:t>, kter</w:t>
      </w:r>
      <w:r w:rsidR="00CB2F4F">
        <w:rPr>
          <w:sz w:val="22"/>
          <w:szCs w:val="22"/>
          <w:lang w:val="cs-CZ"/>
        </w:rPr>
        <w:t>ý</w:t>
      </w:r>
      <w:r>
        <w:rPr>
          <w:sz w:val="22"/>
          <w:szCs w:val="22"/>
          <w:lang w:val="cs-CZ"/>
        </w:rPr>
        <w:t xml:space="preserve"> upravuje podmínky realizace</w:t>
      </w:r>
      <w:r w:rsidRPr="00153EBA">
        <w:rPr>
          <w:sz w:val="22"/>
          <w:szCs w:val="22"/>
          <w:lang w:val="cs-CZ"/>
        </w:rPr>
        <w:t xml:space="preserve"> Zajištění</w:t>
      </w:r>
      <w:r w:rsidR="00CB2F4F">
        <w:rPr>
          <w:sz w:val="22"/>
          <w:szCs w:val="22"/>
          <w:lang w:val="cs-CZ"/>
        </w:rPr>
        <w:t xml:space="preserve"> a podle kterého </w:t>
      </w:r>
      <w:proofErr w:type="spellStart"/>
      <w:r w:rsidR="00CB2F4F">
        <w:rPr>
          <w:sz w:val="22"/>
          <w:szCs w:val="22"/>
          <w:lang w:val="cs-CZ"/>
        </w:rPr>
        <w:t>Bankee</w:t>
      </w:r>
      <w:proofErr w:type="spellEnd"/>
      <w:r w:rsidR="00CB2F4F">
        <w:rPr>
          <w:sz w:val="22"/>
          <w:szCs w:val="22"/>
          <w:lang w:val="cs-CZ"/>
        </w:rPr>
        <w:t xml:space="preserve"> vystupuje jako Agent pro </w:t>
      </w:r>
      <w:r w:rsidR="00F26293">
        <w:rPr>
          <w:sz w:val="22"/>
          <w:szCs w:val="22"/>
          <w:lang w:val="cs-CZ"/>
        </w:rPr>
        <w:t>Z</w:t>
      </w:r>
      <w:r w:rsidR="00CB2F4F">
        <w:rPr>
          <w:sz w:val="22"/>
          <w:szCs w:val="22"/>
          <w:lang w:val="cs-CZ"/>
        </w:rPr>
        <w:t>ajištění. Postoupením pohledávky z příslušného Úvěru však nedochází k postoupení Zajištění.</w:t>
      </w:r>
    </w:p>
    <w:p w14:paraId="548641B6" w14:textId="09EB505C" w:rsidR="00A12737" w:rsidRDefault="00C4210F" w:rsidP="000B5953">
      <w:pPr>
        <w:pStyle w:val="Nadpis2"/>
        <w:spacing w:before="120" w:after="120"/>
        <w:rPr>
          <w:sz w:val="22"/>
          <w:szCs w:val="22"/>
          <w:lang w:val="cs-CZ"/>
        </w:rPr>
      </w:pPr>
      <w:r w:rsidRPr="00C4210F">
        <w:rPr>
          <w:sz w:val="22"/>
          <w:szCs w:val="22"/>
          <w:lang w:val="cs-CZ"/>
        </w:rPr>
        <w:t xml:space="preserve">Pro vyloučení jakýchkoliv pochybností smluvní strany potvrzují, že Participace se vztahuje výhradně na pohledávku z příslušného </w:t>
      </w:r>
      <w:r>
        <w:rPr>
          <w:sz w:val="22"/>
          <w:szCs w:val="22"/>
          <w:lang w:val="cs-CZ"/>
        </w:rPr>
        <w:t>Ú</w:t>
      </w:r>
      <w:r w:rsidRPr="00C4210F">
        <w:rPr>
          <w:sz w:val="22"/>
          <w:szCs w:val="22"/>
          <w:lang w:val="cs-CZ"/>
        </w:rPr>
        <w:t xml:space="preserve">věru, nikoliv však na samotnou </w:t>
      </w:r>
      <w:r>
        <w:rPr>
          <w:sz w:val="22"/>
          <w:szCs w:val="22"/>
          <w:lang w:val="cs-CZ"/>
        </w:rPr>
        <w:t>Ú</w:t>
      </w:r>
      <w:r w:rsidRPr="00C4210F">
        <w:rPr>
          <w:sz w:val="22"/>
          <w:szCs w:val="22"/>
          <w:lang w:val="cs-CZ"/>
        </w:rPr>
        <w:t xml:space="preserve">věrovou smlouvu, </w:t>
      </w:r>
      <w:r>
        <w:rPr>
          <w:sz w:val="22"/>
          <w:szCs w:val="22"/>
          <w:lang w:val="cs-CZ"/>
        </w:rPr>
        <w:t>Z</w:t>
      </w:r>
      <w:r w:rsidRPr="00C4210F">
        <w:rPr>
          <w:sz w:val="22"/>
          <w:szCs w:val="22"/>
          <w:lang w:val="cs-CZ"/>
        </w:rPr>
        <w:t xml:space="preserve">ajišťovací dokument ani jiné smlouvy uzavřené mezi </w:t>
      </w:r>
      <w:proofErr w:type="spellStart"/>
      <w:r w:rsidRPr="00C4210F">
        <w:rPr>
          <w:sz w:val="22"/>
          <w:szCs w:val="22"/>
          <w:lang w:val="cs-CZ"/>
        </w:rPr>
        <w:t>Bankee</w:t>
      </w:r>
      <w:proofErr w:type="spellEnd"/>
      <w:r w:rsidRPr="00C4210F">
        <w:rPr>
          <w:sz w:val="22"/>
          <w:szCs w:val="22"/>
          <w:lang w:val="cs-CZ"/>
        </w:rPr>
        <w:t xml:space="preserve"> a Úvěrovaným.</w:t>
      </w:r>
    </w:p>
    <w:p w14:paraId="10F81C7E" w14:textId="377C879D" w:rsidR="002E22B2" w:rsidRPr="002E22B2" w:rsidRDefault="002E22B2" w:rsidP="002E22B2">
      <w:pPr>
        <w:pStyle w:val="Nadpis2"/>
        <w:spacing w:before="120" w:after="120"/>
        <w:rPr>
          <w:sz w:val="22"/>
          <w:szCs w:val="22"/>
          <w:lang w:val="cs-CZ"/>
        </w:rPr>
      </w:pPr>
      <w:bookmarkStart w:id="5" w:name="_Ref213653839"/>
      <w:r w:rsidRPr="002E22B2">
        <w:rPr>
          <w:sz w:val="22"/>
          <w:szCs w:val="22"/>
          <w:lang w:val="cs-CZ"/>
        </w:rPr>
        <w:t xml:space="preserve">Po dobu trvání komise sjednané mezi </w:t>
      </w:r>
      <w:proofErr w:type="spellStart"/>
      <w:r w:rsidRPr="002E22B2">
        <w:rPr>
          <w:sz w:val="22"/>
          <w:szCs w:val="22"/>
          <w:lang w:val="cs-CZ"/>
        </w:rPr>
        <w:t>Bankee</w:t>
      </w:r>
      <w:proofErr w:type="spellEnd"/>
      <w:r w:rsidRPr="002E22B2">
        <w:rPr>
          <w:sz w:val="22"/>
          <w:szCs w:val="22"/>
          <w:lang w:val="cs-CZ"/>
        </w:rPr>
        <w:t xml:space="preserve"> a Investorem dle článku </w:t>
      </w:r>
      <w:r w:rsidRPr="002E22B2">
        <w:rPr>
          <w:sz w:val="22"/>
          <w:szCs w:val="22"/>
          <w:lang w:val="cs-CZ"/>
        </w:rPr>
        <w:fldChar w:fldCharType="begin"/>
      </w:r>
      <w:r w:rsidRPr="002E22B2">
        <w:rPr>
          <w:sz w:val="22"/>
          <w:szCs w:val="22"/>
          <w:lang w:val="cs-CZ"/>
        </w:rPr>
        <w:instrText xml:space="preserve"> REF _Ref213653422 \r \h </w:instrText>
      </w:r>
      <w:r>
        <w:rPr>
          <w:sz w:val="22"/>
          <w:szCs w:val="22"/>
          <w:lang w:val="cs-CZ"/>
        </w:rPr>
        <w:instrText xml:space="preserve"> \* MERGEFORMAT </w:instrText>
      </w:r>
      <w:r w:rsidRPr="002E22B2">
        <w:rPr>
          <w:sz w:val="22"/>
          <w:szCs w:val="22"/>
          <w:lang w:val="cs-CZ"/>
        </w:rPr>
      </w:r>
      <w:r w:rsidRPr="002E22B2">
        <w:rPr>
          <w:sz w:val="22"/>
          <w:szCs w:val="22"/>
          <w:lang w:val="cs-CZ"/>
        </w:rPr>
        <w:fldChar w:fldCharType="separate"/>
      </w:r>
      <w:r w:rsidRPr="002E22B2">
        <w:rPr>
          <w:sz w:val="22"/>
          <w:szCs w:val="22"/>
          <w:lang w:val="cs-CZ"/>
        </w:rPr>
        <w:t>4.1</w:t>
      </w:r>
      <w:r w:rsidRPr="002E22B2">
        <w:rPr>
          <w:sz w:val="22"/>
          <w:szCs w:val="22"/>
          <w:lang w:val="cs-CZ"/>
        </w:rPr>
        <w:fldChar w:fldCharType="end"/>
      </w:r>
      <w:r w:rsidRPr="002E22B2">
        <w:rPr>
          <w:sz w:val="22"/>
          <w:szCs w:val="22"/>
          <w:lang w:val="cs-CZ"/>
        </w:rPr>
        <w:t xml:space="preserve"> této Rámcové smlouvy Investor není oprávněn Participaci postoupit třetí osobě, zřídit k ní práva </w:t>
      </w:r>
      <w:r w:rsidR="009E04D0">
        <w:rPr>
          <w:sz w:val="22"/>
          <w:szCs w:val="22"/>
          <w:lang w:val="cs-CZ"/>
        </w:rPr>
        <w:t xml:space="preserve">ve prospěch </w:t>
      </w:r>
      <w:r w:rsidRPr="002E22B2">
        <w:rPr>
          <w:sz w:val="22"/>
          <w:szCs w:val="22"/>
          <w:lang w:val="cs-CZ"/>
        </w:rPr>
        <w:t xml:space="preserve">třetích osob ani s ní jinak disponovat, s výjimkou případu, kdy Participaci nabídne ke zpětnému odkupu podle článku </w:t>
      </w:r>
      <w:r>
        <w:rPr>
          <w:sz w:val="22"/>
          <w:szCs w:val="22"/>
          <w:lang w:val="cs-CZ"/>
        </w:rPr>
        <w:t xml:space="preserve">této </w:t>
      </w:r>
      <w:r>
        <w:rPr>
          <w:sz w:val="22"/>
          <w:szCs w:val="22"/>
          <w:lang w:val="cs-CZ"/>
        </w:rPr>
        <w:fldChar w:fldCharType="begin"/>
      </w:r>
      <w:r>
        <w:rPr>
          <w:sz w:val="22"/>
          <w:szCs w:val="22"/>
          <w:lang w:val="cs-CZ"/>
        </w:rPr>
        <w:instrText xml:space="preserve"> REF _Ref213653627 \r \h </w:instrText>
      </w:r>
      <w:r>
        <w:rPr>
          <w:sz w:val="22"/>
          <w:szCs w:val="22"/>
          <w:lang w:val="cs-CZ"/>
        </w:rPr>
      </w:r>
      <w:r>
        <w:rPr>
          <w:sz w:val="22"/>
          <w:szCs w:val="22"/>
          <w:lang w:val="cs-CZ"/>
        </w:rPr>
        <w:fldChar w:fldCharType="separate"/>
      </w:r>
      <w:r>
        <w:rPr>
          <w:sz w:val="22"/>
          <w:szCs w:val="22"/>
          <w:lang w:val="cs-CZ"/>
        </w:rPr>
        <w:t>7.1</w:t>
      </w:r>
      <w:r>
        <w:rPr>
          <w:sz w:val="22"/>
          <w:szCs w:val="22"/>
          <w:lang w:val="cs-CZ"/>
        </w:rPr>
        <w:fldChar w:fldCharType="end"/>
      </w:r>
      <w:r>
        <w:rPr>
          <w:sz w:val="22"/>
          <w:szCs w:val="22"/>
          <w:lang w:val="cs-CZ"/>
        </w:rPr>
        <w:t> Rámcové smlouvy</w:t>
      </w:r>
      <w:r w:rsidRPr="002E22B2">
        <w:rPr>
          <w:sz w:val="22"/>
          <w:szCs w:val="22"/>
          <w:lang w:val="cs-CZ"/>
        </w:rPr>
        <w:t>.</w:t>
      </w:r>
      <w:r w:rsidR="00D26D47">
        <w:rPr>
          <w:sz w:val="22"/>
          <w:szCs w:val="22"/>
          <w:lang w:val="cs-CZ"/>
        </w:rPr>
        <w:t xml:space="preserve"> Investor bere na vědomí a výslovně souhlasí se zákazem dispozice s Participací dle tohoto článku </w:t>
      </w:r>
      <w:r w:rsidR="00D26D47">
        <w:rPr>
          <w:sz w:val="22"/>
          <w:szCs w:val="22"/>
          <w:lang w:val="cs-CZ"/>
        </w:rPr>
        <w:fldChar w:fldCharType="begin"/>
      </w:r>
      <w:r w:rsidR="00D26D47">
        <w:rPr>
          <w:sz w:val="22"/>
          <w:szCs w:val="22"/>
          <w:lang w:val="cs-CZ"/>
        </w:rPr>
        <w:instrText xml:space="preserve"> REF _Ref213653839 \r \h </w:instrText>
      </w:r>
      <w:r w:rsidR="00D26D47">
        <w:rPr>
          <w:sz w:val="22"/>
          <w:szCs w:val="22"/>
          <w:lang w:val="cs-CZ"/>
        </w:rPr>
      </w:r>
      <w:r w:rsidR="00D26D47">
        <w:rPr>
          <w:sz w:val="22"/>
          <w:szCs w:val="22"/>
          <w:lang w:val="cs-CZ"/>
        </w:rPr>
        <w:fldChar w:fldCharType="separate"/>
      </w:r>
      <w:r w:rsidR="00D26D47">
        <w:rPr>
          <w:sz w:val="22"/>
          <w:szCs w:val="22"/>
          <w:lang w:val="cs-CZ"/>
        </w:rPr>
        <w:t>3.4</w:t>
      </w:r>
      <w:r w:rsidR="00D26D47">
        <w:rPr>
          <w:sz w:val="22"/>
          <w:szCs w:val="22"/>
          <w:lang w:val="cs-CZ"/>
        </w:rPr>
        <w:fldChar w:fldCharType="end"/>
      </w:r>
      <w:r w:rsidR="00D26D47">
        <w:rPr>
          <w:sz w:val="22"/>
          <w:szCs w:val="22"/>
          <w:lang w:val="cs-CZ"/>
        </w:rPr>
        <w:t>.</w:t>
      </w:r>
      <w:bookmarkEnd w:id="5"/>
    </w:p>
    <w:p w14:paraId="2D886EB7" w14:textId="795B484D" w:rsidR="001F08D8" w:rsidRDefault="001F08D8" w:rsidP="00C4210F">
      <w:pPr>
        <w:pStyle w:val="Nadpis1"/>
        <w:rPr>
          <w:sz w:val="22"/>
          <w:szCs w:val="22"/>
          <w:lang w:val="cs-CZ"/>
        </w:rPr>
      </w:pPr>
      <w:bookmarkStart w:id="6" w:name="_Ref213320435"/>
      <w:bookmarkStart w:id="7" w:name="_Ref213320403"/>
      <w:r>
        <w:rPr>
          <w:sz w:val="22"/>
          <w:szCs w:val="22"/>
          <w:lang w:val="cs-CZ"/>
        </w:rPr>
        <w:t>Správa participací</w:t>
      </w:r>
      <w:bookmarkEnd w:id="6"/>
    </w:p>
    <w:p w14:paraId="1B042CDF" w14:textId="5DDB802C" w:rsidR="001E2ADB" w:rsidRDefault="00AD3B21" w:rsidP="001E2ADB">
      <w:pPr>
        <w:pStyle w:val="Nadpis2"/>
        <w:numPr>
          <w:ilvl w:val="0"/>
          <w:numId w:val="0"/>
        </w:numPr>
        <w:spacing w:before="240"/>
        <w:ind w:left="709"/>
        <w:rPr>
          <w:sz w:val="22"/>
          <w:szCs w:val="22"/>
          <w:u w:val="single"/>
          <w:lang w:val="cs-CZ"/>
        </w:rPr>
      </w:pPr>
      <w:r>
        <w:rPr>
          <w:sz w:val="22"/>
          <w:szCs w:val="22"/>
          <w:u w:val="single"/>
          <w:lang w:val="cs-CZ"/>
        </w:rPr>
        <w:t>Komise a p</w:t>
      </w:r>
      <w:r w:rsidR="001E2ADB" w:rsidRPr="001E2ADB">
        <w:rPr>
          <w:sz w:val="22"/>
          <w:szCs w:val="22"/>
          <w:u w:val="single"/>
          <w:lang w:val="cs-CZ"/>
        </w:rPr>
        <w:t xml:space="preserve">ověření </w:t>
      </w:r>
      <w:proofErr w:type="spellStart"/>
      <w:r w:rsidR="001E2ADB" w:rsidRPr="001E2ADB">
        <w:rPr>
          <w:sz w:val="22"/>
          <w:szCs w:val="22"/>
          <w:u w:val="single"/>
          <w:lang w:val="cs-CZ"/>
        </w:rPr>
        <w:t>Bankee</w:t>
      </w:r>
      <w:proofErr w:type="spellEnd"/>
      <w:r w:rsidR="001E2ADB" w:rsidRPr="001E2ADB">
        <w:rPr>
          <w:sz w:val="22"/>
          <w:szCs w:val="22"/>
          <w:u w:val="single"/>
          <w:lang w:val="cs-CZ"/>
        </w:rPr>
        <w:t xml:space="preserve"> Správou Participací</w:t>
      </w:r>
    </w:p>
    <w:p w14:paraId="5465208D" w14:textId="46A6B727" w:rsidR="005B3DBA" w:rsidRPr="00F26293" w:rsidRDefault="00FD6E68" w:rsidP="000B5953">
      <w:pPr>
        <w:pStyle w:val="Nadpis2"/>
        <w:spacing w:before="120" w:after="120"/>
        <w:rPr>
          <w:sz w:val="22"/>
          <w:szCs w:val="22"/>
          <w:lang w:val="cs-CZ"/>
        </w:rPr>
      </w:pPr>
      <w:bookmarkStart w:id="8" w:name="_Ref213653422"/>
      <w:r w:rsidRPr="000B5953">
        <w:rPr>
          <w:sz w:val="22"/>
          <w:szCs w:val="18"/>
          <w:lang w:val="cs-CZ"/>
        </w:rPr>
        <w:t xml:space="preserve">Smluvní strany </w:t>
      </w:r>
      <w:r w:rsidR="007557E6" w:rsidRPr="000B5953">
        <w:rPr>
          <w:sz w:val="22"/>
          <w:szCs w:val="18"/>
          <w:lang w:val="cs-CZ"/>
        </w:rPr>
        <w:t xml:space="preserve">mezi sebou </w:t>
      </w:r>
      <w:r w:rsidRPr="000B5953">
        <w:rPr>
          <w:sz w:val="22"/>
          <w:szCs w:val="18"/>
          <w:lang w:val="cs-CZ"/>
        </w:rPr>
        <w:t>sjednávají</w:t>
      </w:r>
      <w:r w:rsidR="007557E6" w:rsidRPr="000B5953">
        <w:rPr>
          <w:sz w:val="22"/>
          <w:szCs w:val="18"/>
          <w:lang w:val="cs-CZ"/>
        </w:rPr>
        <w:t xml:space="preserve"> komisi dle § 2455 a násl. Občanského zákoníku</w:t>
      </w:r>
      <w:r w:rsidRPr="000B5953">
        <w:rPr>
          <w:sz w:val="22"/>
          <w:szCs w:val="18"/>
          <w:lang w:val="cs-CZ"/>
        </w:rPr>
        <w:t xml:space="preserve">, </w:t>
      </w:r>
      <w:r w:rsidR="007557E6" w:rsidRPr="000B5953">
        <w:rPr>
          <w:sz w:val="22"/>
          <w:szCs w:val="18"/>
          <w:lang w:val="cs-CZ"/>
        </w:rPr>
        <w:t xml:space="preserve">na základě které </w:t>
      </w:r>
      <w:proofErr w:type="spellStart"/>
      <w:r w:rsidRPr="000B5953">
        <w:rPr>
          <w:sz w:val="22"/>
          <w:szCs w:val="18"/>
          <w:lang w:val="cs-CZ"/>
        </w:rPr>
        <w:t>Bankee</w:t>
      </w:r>
      <w:proofErr w:type="spellEnd"/>
      <w:r w:rsidRPr="000B5953">
        <w:rPr>
          <w:sz w:val="22"/>
          <w:szCs w:val="18"/>
          <w:lang w:val="cs-CZ"/>
        </w:rPr>
        <w:t xml:space="preserve"> bude vlastním jménem a na účet Investora vykonávat Správu Participací</w:t>
      </w:r>
      <w:r w:rsidR="007557E6" w:rsidRPr="000B5953">
        <w:rPr>
          <w:sz w:val="22"/>
          <w:szCs w:val="18"/>
          <w:lang w:val="cs-CZ"/>
        </w:rPr>
        <w:t>. Správa Participací</w:t>
      </w:r>
      <w:r w:rsidRPr="000B5953">
        <w:rPr>
          <w:sz w:val="22"/>
          <w:szCs w:val="18"/>
          <w:lang w:val="cs-CZ"/>
        </w:rPr>
        <w:t xml:space="preserve"> zahrnuje komplexní správu Participací a výkon souvisejících práv včetně </w:t>
      </w:r>
      <w:r w:rsidR="0020484E">
        <w:rPr>
          <w:sz w:val="22"/>
          <w:szCs w:val="18"/>
          <w:lang w:val="cs-CZ"/>
        </w:rPr>
        <w:t xml:space="preserve">administrace přijatého Plnění </w:t>
      </w:r>
      <w:r w:rsidR="0020053C">
        <w:rPr>
          <w:sz w:val="22"/>
          <w:szCs w:val="18"/>
          <w:lang w:val="cs-CZ"/>
        </w:rPr>
        <w:t xml:space="preserve">a </w:t>
      </w:r>
      <w:r w:rsidR="0020484E" w:rsidRPr="000B5953">
        <w:rPr>
          <w:sz w:val="22"/>
          <w:szCs w:val="18"/>
          <w:lang w:val="cs-CZ"/>
        </w:rPr>
        <w:t xml:space="preserve">případného vymáhání </w:t>
      </w:r>
      <w:r w:rsidR="0020484E">
        <w:rPr>
          <w:sz w:val="22"/>
          <w:szCs w:val="18"/>
          <w:lang w:val="cs-CZ"/>
        </w:rPr>
        <w:t>Splatných pohledávek</w:t>
      </w:r>
      <w:r w:rsidR="0020053C">
        <w:rPr>
          <w:sz w:val="22"/>
          <w:szCs w:val="18"/>
          <w:lang w:val="cs-CZ"/>
        </w:rPr>
        <w:t xml:space="preserve"> a realizace Zajištění</w:t>
      </w:r>
      <w:r w:rsidR="0020484E" w:rsidRPr="000B5953">
        <w:rPr>
          <w:sz w:val="22"/>
          <w:szCs w:val="18"/>
          <w:lang w:val="cs-CZ"/>
        </w:rPr>
        <w:t xml:space="preserve">, a to </w:t>
      </w:r>
      <w:r w:rsidR="0020484E">
        <w:rPr>
          <w:sz w:val="22"/>
          <w:szCs w:val="18"/>
          <w:lang w:val="cs-CZ"/>
        </w:rPr>
        <w:t xml:space="preserve">v rozsahu stanoveném v této Rámcové smlouvě a Obchodních podmínkách. </w:t>
      </w:r>
      <w:bookmarkEnd w:id="8"/>
    </w:p>
    <w:p w14:paraId="615105B6" w14:textId="273F3F8C" w:rsidR="001200F0" w:rsidRPr="00F26293" w:rsidRDefault="001E2ADB" w:rsidP="00AD3B21">
      <w:pPr>
        <w:pStyle w:val="Nadpis2"/>
        <w:spacing w:before="120" w:after="120"/>
        <w:rPr>
          <w:sz w:val="22"/>
          <w:szCs w:val="22"/>
          <w:lang w:val="cs-CZ"/>
        </w:rPr>
      </w:pPr>
      <w:r w:rsidRPr="00F26293">
        <w:rPr>
          <w:sz w:val="22"/>
          <w:szCs w:val="22"/>
          <w:lang w:val="cs-CZ"/>
        </w:rPr>
        <w:t xml:space="preserve">Investor pověřuje </w:t>
      </w:r>
      <w:proofErr w:type="spellStart"/>
      <w:r w:rsidRPr="00F26293">
        <w:rPr>
          <w:sz w:val="22"/>
          <w:szCs w:val="22"/>
          <w:lang w:val="cs-CZ"/>
        </w:rPr>
        <w:t>Bankee</w:t>
      </w:r>
      <w:proofErr w:type="spellEnd"/>
      <w:r w:rsidRPr="00F26293">
        <w:rPr>
          <w:sz w:val="22"/>
          <w:szCs w:val="22"/>
          <w:lang w:val="cs-CZ"/>
        </w:rPr>
        <w:t>, aby pro něho vykonávala veškeré činnosti související se Správou Participací. V této souvislosti Investor bere na vědomí a souhlas</w:t>
      </w:r>
      <w:r w:rsidR="00AD3B21" w:rsidRPr="00F26293">
        <w:rPr>
          <w:sz w:val="22"/>
          <w:szCs w:val="22"/>
          <w:lang w:val="cs-CZ"/>
        </w:rPr>
        <w:t>í</w:t>
      </w:r>
      <w:r w:rsidRPr="00F26293">
        <w:rPr>
          <w:sz w:val="22"/>
          <w:szCs w:val="22"/>
          <w:lang w:val="cs-CZ"/>
        </w:rPr>
        <w:t xml:space="preserve"> s tím, že po dobu trvání komise není oprávněn Participaci spravovat ani činit vůči Úvěrovanému jakékoli právní či jiné jednání související s</w:t>
      </w:r>
      <w:r w:rsidR="00AD3B21" w:rsidRPr="00F26293">
        <w:rPr>
          <w:sz w:val="22"/>
          <w:szCs w:val="22"/>
          <w:lang w:val="cs-CZ"/>
        </w:rPr>
        <w:t> </w:t>
      </w:r>
      <w:r w:rsidRPr="00F26293">
        <w:rPr>
          <w:sz w:val="22"/>
          <w:szCs w:val="22"/>
          <w:lang w:val="cs-CZ"/>
        </w:rPr>
        <w:t>Participací</w:t>
      </w:r>
      <w:r w:rsidR="00AD3B21" w:rsidRPr="00F26293">
        <w:rPr>
          <w:sz w:val="22"/>
          <w:szCs w:val="22"/>
          <w:lang w:val="cs-CZ"/>
        </w:rPr>
        <w:t xml:space="preserve">, ledaže mu k tomu </w:t>
      </w:r>
      <w:proofErr w:type="spellStart"/>
      <w:r w:rsidR="00AD3B21" w:rsidRPr="00F26293">
        <w:rPr>
          <w:sz w:val="22"/>
          <w:szCs w:val="22"/>
          <w:lang w:val="cs-CZ"/>
        </w:rPr>
        <w:t>Bankee</w:t>
      </w:r>
      <w:proofErr w:type="spellEnd"/>
      <w:r w:rsidR="00AD3B21" w:rsidRPr="00F26293">
        <w:rPr>
          <w:sz w:val="22"/>
          <w:szCs w:val="22"/>
          <w:lang w:val="cs-CZ"/>
        </w:rPr>
        <w:t xml:space="preserve"> ve vztahu ke konkrétní Participaci udělí písemný souhlas.</w:t>
      </w:r>
    </w:p>
    <w:p w14:paraId="58C50E4A" w14:textId="516D9803" w:rsidR="001D00BF" w:rsidRPr="00F26293" w:rsidRDefault="00D07619" w:rsidP="001D00BF">
      <w:pPr>
        <w:pStyle w:val="Nadpis2"/>
        <w:spacing w:before="120" w:after="120"/>
        <w:rPr>
          <w:sz w:val="22"/>
          <w:szCs w:val="22"/>
          <w:lang w:val="cs-CZ"/>
        </w:rPr>
      </w:pPr>
      <w:r w:rsidRPr="00F26293">
        <w:rPr>
          <w:sz w:val="22"/>
          <w:szCs w:val="22"/>
          <w:lang w:val="cs-CZ"/>
        </w:rPr>
        <w:t>Správ</w:t>
      </w:r>
      <w:r w:rsidR="009E04D0">
        <w:rPr>
          <w:sz w:val="22"/>
          <w:szCs w:val="22"/>
          <w:lang w:val="cs-CZ"/>
        </w:rPr>
        <w:t xml:space="preserve">a </w:t>
      </w:r>
      <w:r w:rsidRPr="00F26293">
        <w:rPr>
          <w:sz w:val="22"/>
          <w:szCs w:val="22"/>
          <w:lang w:val="cs-CZ"/>
        </w:rPr>
        <w:t xml:space="preserve">Participací vykonávaná </w:t>
      </w:r>
      <w:proofErr w:type="spellStart"/>
      <w:r w:rsidRPr="00F26293">
        <w:rPr>
          <w:sz w:val="22"/>
          <w:szCs w:val="22"/>
          <w:lang w:val="cs-CZ"/>
        </w:rPr>
        <w:t>Bankee</w:t>
      </w:r>
      <w:proofErr w:type="spellEnd"/>
      <w:r w:rsidRPr="00F26293">
        <w:rPr>
          <w:sz w:val="22"/>
          <w:szCs w:val="22"/>
          <w:lang w:val="cs-CZ"/>
        </w:rPr>
        <w:t xml:space="preserve"> v rámci komise sjednané mezi </w:t>
      </w:r>
      <w:proofErr w:type="spellStart"/>
      <w:r w:rsidRPr="00F26293">
        <w:rPr>
          <w:sz w:val="22"/>
          <w:szCs w:val="22"/>
          <w:lang w:val="cs-CZ"/>
        </w:rPr>
        <w:t>Bankee</w:t>
      </w:r>
      <w:proofErr w:type="spellEnd"/>
      <w:r w:rsidRPr="00F26293">
        <w:rPr>
          <w:sz w:val="22"/>
          <w:szCs w:val="22"/>
          <w:lang w:val="cs-CZ"/>
        </w:rPr>
        <w:t xml:space="preserve"> a Investorem tvoří </w:t>
      </w:r>
      <w:r w:rsidRPr="00F26293">
        <w:rPr>
          <w:sz w:val="22"/>
          <w:szCs w:val="22"/>
          <w:lang w:val="cs-CZ"/>
        </w:rPr>
        <w:lastRenderedPageBreak/>
        <w:t xml:space="preserve">neoddělitelnou součást této Rámcové smlouvy. </w:t>
      </w:r>
      <w:r w:rsidR="001D00BF" w:rsidRPr="00F26293">
        <w:rPr>
          <w:sz w:val="22"/>
          <w:szCs w:val="22"/>
          <w:lang w:val="cs-CZ"/>
        </w:rPr>
        <w:t xml:space="preserve">Pokud Investor při Správě Participací uděluje </w:t>
      </w:r>
      <w:proofErr w:type="spellStart"/>
      <w:r w:rsidR="001D00BF" w:rsidRPr="00F26293">
        <w:rPr>
          <w:sz w:val="22"/>
          <w:szCs w:val="22"/>
          <w:lang w:val="cs-CZ"/>
        </w:rPr>
        <w:t>Bankee</w:t>
      </w:r>
      <w:proofErr w:type="spellEnd"/>
      <w:r w:rsidR="001D00BF" w:rsidRPr="00F26293">
        <w:rPr>
          <w:sz w:val="22"/>
          <w:szCs w:val="22"/>
          <w:lang w:val="cs-CZ"/>
        </w:rPr>
        <w:t xml:space="preserve"> pokyny v rozporu s touto Rámcovou smlouvou a Obchodními podmínkami nebo činí jednání směřující k ukončení komise sjednané mezi </w:t>
      </w:r>
      <w:proofErr w:type="spellStart"/>
      <w:r w:rsidR="001D00BF" w:rsidRPr="00F26293">
        <w:rPr>
          <w:sz w:val="22"/>
          <w:szCs w:val="22"/>
          <w:lang w:val="cs-CZ"/>
        </w:rPr>
        <w:t>Bankee</w:t>
      </w:r>
      <w:proofErr w:type="spellEnd"/>
      <w:r w:rsidR="001D00BF" w:rsidRPr="00F26293">
        <w:rPr>
          <w:sz w:val="22"/>
          <w:szCs w:val="22"/>
          <w:lang w:val="cs-CZ"/>
        </w:rPr>
        <w:t xml:space="preserve"> a Investorem, dochází tím k zániku celé Rámcové smlouvy.</w:t>
      </w:r>
    </w:p>
    <w:p w14:paraId="22FF1CE3" w14:textId="4A58B4A0" w:rsidR="00F26293" w:rsidRPr="00F26293" w:rsidRDefault="00F26293" w:rsidP="00F26293">
      <w:pPr>
        <w:pStyle w:val="Nadpis2"/>
        <w:spacing w:before="120" w:after="120"/>
        <w:rPr>
          <w:sz w:val="22"/>
          <w:szCs w:val="22"/>
          <w:lang w:val="cs-CZ"/>
        </w:rPr>
      </w:pPr>
      <w:r w:rsidRPr="00F26293">
        <w:rPr>
          <w:sz w:val="22"/>
          <w:szCs w:val="22"/>
          <w:lang w:val="cs-CZ"/>
        </w:rPr>
        <w:t xml:space="preserve">Investor výslovně požaduje, aby pokyny udělené </w:t>
      </w:r>
      <w:proofErr w:type="spellStart"/>
      <w:r w:rsidRPr="00F26293">
        <w:rPr>
          <w:sz w:val="22"/>
          <w:szCs w:val="22"/>
          <w:lang w:val="cs-CZ"/>
        </w:rPr>
        <w:t>Bankee</w:t>
      </w:r>
      <w:proofErr w:type="spellEnd"/>
      <w:r w:rsidRPr="00F26293">
        <w:rPr>
          <w:sz w:val="22"/>
          <w:szCs w:val="22"/>
          <w:lang w:val="cs-CZ"/>
        </w:rPr>
        <w:t xml:space="preserve"> touto Rámcovou smlouvou ke Správě Participace v rámci komise sjednané mezi </w:t>
      </w:r>
      <w:proofErr w:type="spellStart"/>
      <w:r w:rsidRPr="00F26293">
        <w:rPr>
          <w:sz w:val="22"/>
          <w:szCs w:val="22"/>
          <w:lang w:val="cs-CZ"/>
        </w:rPr>
        <w:t>Bankee</w:t>
      </w:r>
      <w:proofErr w:type="spellEnd"/>
      <w:r w:rsidRPr="00F26293">
        <w:rPr>
          <w:sz w:val="22"/>
          <w:szCs w:val="22"/>
          <w:lang w:val="cs-CZ"/>
        </w:rPr>
        <w:t xml:space="preserve"> a Investorem trvaly i v případě smrti Investora nebo prohlášení za mrtvého.</w:t>
      </w:r>
    </w:p>
    <w:p w14:paraId="7D661E92" w14:textId="4540C7CF" w:rsidR="00F26293" w:rsidRPr="00F26293" w:rsidRDefault="00F26293" w:rsidP="00F26293">
      <w:pPr>
        <w:pStyle w:val="Nadpis2"/>
        <w:spacing w:before="120" w:after="120"/>
        <w:rPr>
          <w:sz w:val="22"/>
          <w:szCs w:val="22"/>
          <w:lang w:val="cs-CZ"/>
        </w:rPr>
      </w:pPr>
      <w:r w:rsidRPr="00F26293">
        <w:rPr>
          <w:sz w:val="22"/>
          <w:szCs w:val="22"/>
          <w:lang w:val="cs-CZ"/>
        </w:rPr>
        <w:t xml:space="preserve">Pokyny ke Správě Participací udělené </w:t>
      </w:r>
      <w:proofErr w:type="spellStart"/>
      <w:r w:rsidRPr="00F26293">
        <w:rPr>
          <w:sz w:val="22"/>
          <w:szCs w:val="22"/>
          <w:lang w:val="cs-CZ"/>
        </w:rPr>
        <w:t>Bankee</w:t>
      </w:r>
      <w:proofErr w:type="spellEnd"/>
      <w:r w:rsidRPr="00F26293">
        <w:rPr>
          <w:sz w:val="22"/>
          <w:szCs w:val="22"/>
          <w:lang w:val="cs-CZ"/>
        </w:rPr>
        <w:t xml:space="preserve"> touto Rámcovou smlouvou je Investor oprávněn odvolat pouze z důvodů uvedených v článku </w:t>
      </w:r>
      <w:r w:rsidR="00D82FB8">
        <w:rPr>
          <w:sz w:val="22"/>
          <w:szCs w:val="22"/>
          <w:lang w:val="cs-CZ"/>
        </w:rPr>
        <w:t>5.5</w:t>
      </w:r>
      <w:r w:rsidR="00D82FB8" w:rsidRPr="00F26293">
        <w:rPr>
          <w:sz w:val="22"/>
          <w:szCs w:val="22"/>
          <w:lang w:val="cs-CZ"/>
        </w:rPr>
        <w:t xml:space="preserve"> </w:t>
      </w:r>
      <w:r w:rsidRPr="00F26293">
        <w:rPr>
          <w:sz w:val="22"/>
          <w:szCs w:val="22"/>
          <w:lang w:val="cs-CZ"/>
        </w:rPr>
        <w:t>Obchodních podmínek.</w:t>
      </w:r>
    </w:p>
    <w:p w14:paraId="6933106D" w14:textId="7D947386" w:rsidR="00883606" w:rsidRPr="00F26293" w:rsidRDefault="00883606" w:rsidP="00883606">
      <w:pPr>
        <w:pStyle w:val="Nadpis2"/>
        <w:spacing w:before="120" w:after="120"/>
        <w:rPr>
          <w:sz w:val="22"/>
          <w:szCs w:val="22"/>
          <w:lang w:val="cs-CZ"/>
        </w:rPr>
      </w:pPr>
      <w:r w:rsidRPr="00F26293">
        <w:rPr>
          <w:sz w:val="22"/>
          <w:szCs w:val="22"/>
          <w:lang w:val="cs-CZ"/>
        </w:rPr>
        <w:t xml:space="preserve">V souladu s ujednáním o komisi Investor výslovně prohlašuje, že nepožaduje, aby </w:t>
      </w:r>
      <w:proofErr w:type="spellStart"/>
      <w:r w:rsidRPr="00F26293">
        <w:rPr>
          <w:sz w:val="22"/>
          <w:szCs w:val="22"/>
          <w:lang w:val="cs-CZ"/>
        </w:rPr>
        <w:t>Bankee</w:t>
      </w:r>
      <w:proofErr w:type="spellEnd"/>
      <w:r w:rsidRPr="00F26293">
        <w:rPr>
          <w:sz w:val="22"/>
          <w:szCs w:val="22"/>
          <w:lang w:val="cs-CZ"/>
        </w:rPr>
        <w:t xml:space="preserve"> informovala Úvěrovaného o postoupení pohledávky z příslušného Úvěru.</w:t>
      </w:r>
    </w:p>
    <w:p w14:paraId="5DE92C25" w14:textId="4C5D6E6B" w:rsidR="00D1625B" w:rsidRPr="00F26293" w:rsidRDefault="00D1625B" w:rsidP="00D1625B">
      <w:pPr>
        <w:pStyle w:val="Nadpis2"/>
        <w:numPr>
          <w:ilvl w:val="0"/>
          <w:numId w:val="0"/>
        </w:numPr>
        <w:spacing w:before="240"/>
        <w:ind w:left="709"/>
        <w:rPr>
          <w:sz w:val="22"/>
          <w:szCs w:val="22"/>
          <w:u w:val="single"/>
          <w:lang w:val="cs-CZ"/>
        </w:rPr>
      </w:pPr>
      <w:r w:rsidRPr="00F26293">
        <w:rPr>
          <w:sz w:val="22"/>
          <w:szCs w:val="22"/>
          <w:u w:val="single"/>
          <w:lang w:val="cs-CZ"/>
        </w:rPr>
        <w:t xml:space="preserve">Činnost </w:t>
      </w:r>
      <w:proofErr w:type="spellStart"/>
      <w:r w:rsidRPr="00F26293">
        <w:rPr>
          <w:sz w:val="22"/>
          <w:szCs w:val="22"/>
          <w:u w:val="single"/>
          <w:lang w:val="cs-CZ"/>
        </w:rPr>
        <w:t>Bankee</w:t>
      </w:r>
      <w:proofErr w:type="spellEnd"/>
    </w:p>
    <w:p w14:paraId="7CE5C635" w14:textId="74FE21D7" w:rsidR="005B3DBA" w:rsidRPr="000B5953" w:rsidRDefault="005B3DBA" w:rsidP="000B5953">
      <w:pPr>
        <w:pStyle w:val="Nadpis2"/>
        <w:spacing w:before="120" w:after="120"/>
        <w:rPr>
          <w:sz w:val="22"/>
          <w:szCs w:val="18"/>
          <w:lang w:val="cs-CZ"/>
        </w:rPr>
      </w:pPr>
      <w:proofErr w:type="spellStart"/>
      <w:r w:rsidRPr="000B5953">
        <w:rPr>
          <w:sz w:val="22"/>
          <w:szCs w:val="18"/>
          <w:lang w:val="cs-CZ"/>
        </w:rPr>
        <w:t>Bankee</w:t>
      </w:r>
      <w:proofErr w:type="spellEnd"/>
      <w:r w:rsidRPr="000B5953">
        <w:rPr>
          <w:sz w:val="22"/>
          <w:szCs w:val="18"/>
          <w:lang w:val="cs-CZ"/>
        </w:rPr>
        <w:t xml:space="preserve"> vykonává Správu Participací na základě pokynů Investora upravených v této Rámcové smlouvě a Obchodních podmínkách.</w:t>
      </w:r>
    </w:p>
    <w:p w14:paraId="349B16D4" w14:textId="7351A188" w:rsidR="00D1625B" w:rsidRDefault="005B3DBA" w:rsidP="000B5953">
      <w:pPr>
        <w:pStyle w:val="Nadpis2"/>
        <w:spacing w:before="120" w:after="120"/>
        <w:rPr>
          <w:sz w:val="22"/>
          <w:szCs w:val="18"/>
          <w:lang w:val="cs-CZ"/>
        </w:rPr>
      </w:pPr>
      <w:proofErr w:type="spellStart"/>
      <w:r w:rsidRPr="00E952E7">
        <w:rPr>
          <w:sz w:val="22"/>
          <w:szCs w:val="18"/>
          <w:lang w:val="cs-CZ"/>
        </w:rPr>
        <w:t>Bankee</w:t>
      </w:r>
      <w:proofErr w:type="spellEnd"/>
      <w:r w:rsidRPr="00E952E7">
        <w:rPr>
          <w:sz w:val="22"/>
          <w:szCs w:val="18"/>
          <w:lang w:val="cs-CZ"/>
        </w:rPr>
        <w:t xml:space="preserve"> je v rámci Správy Participací a v mezích pokynů Investora stanovených </w:t>
      </w:r>
      <w:r w:rsidR="009E04D0">
        <w:rPr>
          <w:sz w:val="22"/>
          <w:szCs w:val="18"/>
          <w:lang w:val="cs-CZ"/>
        </w:rPr>
        <w:t>v této Rámcové smlouvě</w:t>
      </w:r>
      <w:r w:rsidRPr="00E952E7">
        <w:rPr>
          <w:sz w:val="22"/>
          <w:szCs w:val="18"/>
          <w:lang w:val="cs-CZ"/>
        </w:rPr>
        <w:t xml:space="preserve"> oprávněna činit veškerá právní i faktická jednání související se Správou Participací. Zejména je </w:t>
      </w:r>
      <w:proofErr w:type="spellStart"/>
      <w:r w:rsidRPr="00E952E7">
        <w:rPr>
          <w:sz w:val="22"/>
          <w:szCs w:val="18"/>
          <w:lang w:val="cs-CZ"/>
        </w:rPr>
        <w:t>Bankee</w:t>
      </w:r>
      <w:proofErr w:type="spellEnd"/>
      <w:r w:rsidRPr="00E952E7">
        <w:rPr>
          <w:sz w:val="22"/>
          <w:szCs w:val="18"/>
          <w:lang w:val="cs-CZ"/>
        </w:rPr>
        <w:t xml:space="preserve"> oprávněna upomínat Úvěrovaného a jinak s ním komunikovat, podávat jakékoli procesní návrhy, včetně jejich zpětvzetí, účastnit se svým jménem a na účet Investora jakýchkoli jednání s orgány veřejné moci a třetími osobami, včetně řízení před soudy. </w:t>
      </w:r>
      <w:r w:rsidRPr="005B3DBA">
        <w:rPr>
          <w:sz w:val="22"/>
          <w:szCs w:val="18"/>
          <w:lang w:val="cs-CZ"/>
        </w:rPr>
        <w:t xml:space="preserve">Veškeré výše uvedené </w:t>
      </w:r>
      <w:r w:rsidRPr="00E952E7">
        <w:rPr>
          <w:sz w:val="22"/>
          <w:szCs w:val="18"/>
          <w:lang w:val="cs-CZ"/>
        </w:rPr>
        <w:t>jednání</w:t>
      </w:r>
      <w:r w:rsidRPr="005B3DBA">
        <w:rPr>
          <w:sz w:val="22"/>
          <w:szCs w:val="18"/>
          <w:lang w:val="cs-CZ"/>
        </w:rPr>
        <w:t xml:space="preserve"> je </w:t>
      </w:r>
      <w:proofErr w:type="spellStart"/>
      <w:r w:rsidRPr="00E952E7">
        <w:rPr>
          <w:sz w:val="22"/>
          <w:szCs w:val="18"/>
          <w:lang w:val="cs-CZ"/>
        </w:rPr>
        <w:t>Bankee</w:t>
      </w:r>
      <w:proofErr w:type="spellEnd"/>
      <w:r w:rsidRPr="005B3DBA">
        <w:rPr>
          <w:sz w:val="22"/>
          <w:szCs w:val="18"/>
          <w:lang w:val="cs-CZ"/>
        </w:rPr>
        <w:t xml:space="preserve"> oprávněna činit rovněž z titulu Agenta pro </w:t>
      </w:r>
      <w:r w:rsidR="00F26293">
        <w:rPr>
          <w:sz w:val="22"/>
          <w:szCs w:val="18"/>
          <w:lang w:val="cs-CZ"/>
        </w:rPr>
        <w:t>Z</w:t>
      </w:r>
      <w:r w:rsidRPr="005B3DBA">
        <w:rPr>
          <w:sz w:val="22"/>
          <w:szCs w:val="18"/>
          <w:lang w:val="cs-CZ"/>
        </w:rPr>
        <w:t>ajištění</w:t>
      </w:r>
      <w:r w:rsidR="00E952E7" w:rsidRPr="00E952E7">
        <w:rPr>
          <w:sz w:val="22"/>
          <w:szCs w:val="18"/>
          <w:lang w:val="cs-CZ"/>
        </w:rPr>
        <w:t>.</w:t>
      </w:r>
      <w:r w:rsidR="00E952E7">
        <w:rPr>
          <w:sz w:val="22"/>
          <w:szCs w:val="18"/>
          <w:lang w:val="cs-CZ"/>
        </w:rPr>
        <w:t xml:space="preserve"> </w:t>
      </w:r>
    </w:p>
    <w:p w14:paraId="38EF4E22" w14:textId="282615C3" w:rsidR="005B3DBA" w:rsidRPr="005B3DBA" w:rsidRDefault="00E952E7" w:rsidP="000B5953">
      <w:pPr>
        <w:pStyle w:val="Nadpis2"/>
        <w:spacing w:before="120" w:after="120"/>
        <w:rPr>
          <w:sz w:val="22"/>
          <w:szCs w:val="18"/>
          <w:lang w:val="cs-CZ"/>
        </w:rPr>
      </w:pPr>
      <w:r>
        <w:rPr>
          <w:sz w:val="22"/>
          <w:szCs w:val="18"/>
          <w:lang w:val="cs-CZ"/>
        </w:rPr>
        <w:t xml:space="preserve">Provedením konkrétních jednání v rámci Správy Participací je </w:t>
      </w:r>
      <w:proofErr w:type="spellStart"/>
      <w:r>
        <w:rPr>
          <w:sz w:val="22"/>
          <w:szCs w:val="18"/>
          <w:lang w:val="cs-CZ"/>
        </w:rPr>
        <w:t>Bankee</w:t>
      </w:r>
      <w:proofErr w:type="spellEnd"/>
      <w:r>
        <w:rPr>
          <w:sz w:val="22"/>
          <w:szCs w:val="18"/>
          <w:lang w:val="cs-CZ"/>
        </w:rPr>
        <w:t xml:space="preserve"> oprávněna pověřit třetí osobu, zejména advokáta nebo daňového poradce. </w:t>
      </w:r>
      <w:proofErr w:type="spellStart"/>
      <w:r>
        <w:rPr>
          <w:sz w:val="22"/>
          <w:szCs w:val="18"/>
          <w:lang w:val="cs-CZ"/>
        </w:rPr>
        <w:t>Bankee</w:t>
      </w:r>
      <w:proofErr w:type="spellEnd"/>
      <w:r>
        <w:rPr>
          <w:sz w:val="22"/>
          <w:szCs w:val="18"/>
          <w:lang w:val="cs-CZ"/>
        </w:rPr>
        <w:t xml:space="preserve"> </w:t>
      </w:r>
      <w:r w:rsidR="00D1625B">
        <w:rPr>
          <w:sz w:val="22"/>
          <w:szCs w:val="18"/>
          <w:lang w:val="cs-CZ"/>
        </w:rPr>
        <w:t>bude při</w:t>
      </w:r>
      <w:r w:rsidRPr="00E952E7">
        <w:rPr>
          <w:sz w:val="22"/>
          <w:szCs w:val="18"/>
          <w:lang w:val="cs-CZ"/>
        </w:rPr>
        <w:t xml:space="preserve"> výběru takové třetí osoby postupovat s</w:t>
      </w:r>
      <w:r w:rsidR="007D5AC8">
        <w:rPr>
          <w:sz w:val="22"/>
          <w:szCs w:val="18"/>
          <w:lang w:val="cs-CZ"/>
        </w:rPr>
        <w:t> </w:t>
      </w:r>
      <w:r w:rsidRPr="00E952E7">
        <w:rPr>
          <w:sz w:val="22"/>
          <w:szCs w:val="18"/>
          <w:lang w:val="cs-CZ"/>
        </w:rPr>
        <w:t>odbornou péčí</w:t>
      </w:r>
      <w:r>
        <w:rPr>
          <w:sz w:val="22"/>
          <w:szCs w:val="18"/>
          <w:lang w:val="cs-CZ"/>
        </w:rPr>
        <w:t>.</w:t>
      </w:r>
    </w:p>
    <w:p w14:paraId="36046372" w14:textId="1A3E4235" w:rsidR="00286837" w:rsidRPr="00D1625B" w:rsidRDefault="00D1625B" w:rsidP="00D1625B">
      <w:pPr>
        <w:pStyle w:val="Nadpis2"/>
        <w:numPr>
          <w:ilvl w:val="0"/>
          <w:numId w:val="0"/>
        </w:numPr>
        <w:spacing w:before="240"/>
        <w:ind w:left="709"/>
        <w:rPr>
          <w:sz w:val="22"/>
          <w:szCs w:val="22"/>
          <w:u w:val="single"/>
          <w:lang w:val="cs-CZ"/>
        </w:rPr>
      </w:pPr>
      <w:r w:rsidRPr="00D1625B">
        <w:rPr>
          <w:sz w:val="22"/>
          <w:szCs w:val="22"/>
          <w:u w:val="single"/>
          <w:lang w:val="cs-CZ"/>
        </w:rPr>
        <w:t xml:space="preserve">Oprávnění </w:t>
      </w:r>
      <w:proofErr w:type="spellStart"/>
      <w:r w:rsidRPr="00D1625B">
        <w:rPr>
          <w:sz w:val="22"/>
          <w:szCs w:val="22"/>
          <w:u w:val="single"/>
          <w:lang w:val="cs-CZ"/>
        </w:rPr>
        <w:t>Bankee</w:t>
      </w:r>
      <w:proofErr w:type="spellEnd"/>
    </w:p>
    <w:p w14:paraId="72BC81C2" w14:textId="32EC8057" w:rsidR="007557E6" w:rsidRDefault="00A57D44" w:rsidP="000B5953">
      <w:pPr>
        <w:pStyle w:val="Nadpis2"/>
        <w:spacing w:before="120" w:after="120"/>
        <w:rPr>
          <w:sz w:val="22"/>
          <w:szCs w:val="18"/>
          <w:lang w:val="cs-CZ"/>
        </w:rPr>
      </w:pPr>
      <w:bookmarkStart w:id="9" w:name="_Ref213323790"/>
      <w:r w:rsidRPr="00A57D44">
        <w:rPr>
          <w:sz w:val="22"/>
          <w:szCs w:val="18"/>
          <w:lang w:val="cs-CZ"/>
        </w:rPr>
        <w:t xml:space="preserve">V rámci komise a při výkonu Správy Participací je </w:t>
      </w:r>
      <w:proofErr w:type="spellStart"/>
      <w:r w:rsidRPr="00A57D44">
        <w:rPr>
          <w:sz w:val="22"/>
          <w:szCs w:val="18"/>
          <w:lang w:val="cs-CZ"/>
        </w:rPr>
        <w:t>Bankee</w:t>
      </w:r>
      <w:proofErr w:type="spellEnd"/>
      <w:r w:rsidRPr="00A57D44">
        <w:rPr>
          <w:sz w:val="22"/>
          <w:szCs w:val="18"/>
          <w:lang w:val="cs-CZ"/>
        </w:rPr>
        <w:t xml:space="preserve"> Investorem pověřena a oprávněna zejména k následujícím činnostem:</w:t>
      </w:r>
      <w:bookmarkEnd w:id="9"/>
    </w:p>
    <w:p w14:paraId="7FA7D851" w14:textId="6A88CA88" w:rsidR="00A57D44" w:rsidRPr="00E750FE" w:rsidRDefault="00A57D44" w:rsidP="00A57D44">
      <w:pPr>
        <w:pStyle w:val="Nadpis3"/>
        <w:rPr>
          <w:sz w:val="22"/>
          <w:szCs w:val="18"/>
          <w:lang w:val="cs-CZ"/>
        </w:rPr>
      </w:pPr>
      <w:bookmarkStart w:id="10" w:name="_Ref213332437"/>
      <w:r w:rsidRPr="00E750FE">
        <w:rPr>
          <w:sz w:val="22"/>
          <w:szCs w:val="18"/>
          <w:lang w:val="cs-CZ"/>
        </w:rPr>
        <w:t xml:space="preserve">přijímat Plnění na </w:t>
      </w:r>
      <w:r w:rsidR="008C6C7B">
        <w:rPr>
          <w:sz w:val="22"/>
          <w:szCs w:val="18"/>
          <w:lang w:val="cs-CZ"/>
        </w:rPr>
        <w:t>bankovní ú</w:t>
      </w:r>
      <w:r w:rsidRPr="00E750FE">
        <w:rPr>
          <w:sz w:val="22"/>
          <w:szCs w:val="18"/>
          <w:lang w:val="cs-CZ"/>
        </w:rPr>
        <w:t xml:space="preserve">čet </w:t>
      </w:r>
      <w:proofErr w:type="spellStart"/>
      <w:r w:rsidRPr="00E750FE">
        <w:rPr>
          <w:sz w:val="22"/>
          <w:szCs w:val="18"/>
          <w:lang w:val="cs-CZ"/>
        </w:rPr>
        <w:t>Bankee</w:t>
      </w:r>
      <w:proofErr w:type="spellEnd"/>
      <w:r w:rsidR="00E750FE">
        <w:rPr>
          <w:sz w:val="22"/>
          <w:szCs w:val="18"/>
          <w:lang w:val="cs-CZ"/>
        </w:rPr>
        <w:t>;</w:t>
      </w:r>
      <w:bookmarkEnd w:id="10"/>
    </w:p>
    <w:p w14:paraId="29B73E2D" w14:textId="3E1C0385" w:rsidR="00A57D44" w:rsidRPr="00E750FE" w:rsidRDefault="00A57D44" w:rsidP="00E750FE">
      <w:pPr>
        <w:pStyle w:val="Nadpis3"/>
        <w:rPr>
          <w:sz w:val="22"/>
          <w:szCs w:val="18"/>
          <w:lang w:val="cs-CZ"/>
        </w:rPr>
      </w:pPr>
      <w:r w:rsidRPr="00E750FE">
        <w:rPr>
          <w:sz w:val="22"/>
          <w:szCs w:val="18"/>
          <w:lang w:val="cs-CZ"/>
        </w:rPr>
        <w:t>uchovávat veškerou relevantní dokumentaci vztahující se k Participacím;</w:t>
      </w:r>
    </w:p>
    <w:p w14:paraId="6874F77C" w14:textId="15B08975" w:rsidR="00A57D44" w:rsidRDefault="00A57D44" w:rsidP="00E750FE">
      <w:pPr>
        <w:pStyle w:val="Nadpis3"/>
        <w:rPr>
          <w:sz w:val="22"/>
          <w:szCs w:val="18"/>
          <w:lang w:val="cs-CZ"/>
        </w:rPr>
      </w:pPr>
      <w:r w:rsidRPr="00E750FE">
        <w:rPr>
          <w:sz w:val="22"/>
          <w:szCs w:val="18"/>
          <w:lang w:val="cs-CZ"/>
        </w:rPr>
        <w:t>komunik</w:t>
      </w:r>
      <w:r w:rsidR="00E750FE" w:rsidRPr="00E750FE">
        <w:rPr>
          <w:sz w:val="22"/>
          <w:szCs w:val="18"/>
          <w:lang w:val="cs-CZ"/>
        </w:rPr>
        <w:t>ovat</w:t>
      </w:r>
      <w:r w:rsidRPr="00E750FE">
        <w:rPr>
          <w:sz w:val="22"/>
          <w:szCs w:val="18"/>
          <w:lang w:val="cs-CZ"/>
        </w:rPr>
        <w:t xml:space="preserve"> s Úvěrovaným ohledně Úvěru a jeho splacení, mimo jiné za účelem předcházení mimosoudnímu vymáhání Participací;</w:t>
      </w:r>
    </w:p>
    <w:p w14:paraId="04ADBA80" w14:textId="64F24645" w:rsidR="00E750FE" w:rsidRPr="00E750FE" w:rsidRDefault="00E750FE" w:rsidP="00E750FE">
      <w:pPr>
        <w:pStyle w:val="Nadpis3"/>
        <w:rPr>
          <w:sz w:val="22"/>
          <w:szCs w:val="18"/>
          <w:lang w:val="cs-CZ"/>
        </w:rPr>
      </w:pPr>
      <w:r w:rsidRPr="00E750FE">
        <w:rPr>
          <w:sz w:val="22"/>
          <w:szCs w:val="18"/>
          <w:lang w:val="cs-CZ"/>
        </w:rPr>
        <w:t>provádět mimosoudní vymáhání Plnění, včetně uplatnění práv vyplývajících ze Zajištění a realizace Zajištění, pokud Úvěrovaný neplní své povinnosti řádně a včas, zejména prostřednictvím pravidelné komunikace a opakovaných upomínek;</w:t>
      </w:r>
    </w:p>
    <w:p w14:paraId="23BAE89C" w14:textId="7E1833F4" w:rsidR="004203D0" w:rsidRDefault="004203D0" w:rsidP="00E750FE">
      <w:pPr>
        <w:pStyle w:val="Nadpis3"/>
        <w:rPr>
          <w:sz w:val="22"/>
          <w:szCs w:val="18"/>
          <w:lang w:val="cs-CZ"/>
        </w:rPr>
      </w:pPr>
      <w:bookmarkStart w:id="11" w:name="_Ref213658326"/>
      <w:r>
        <w:rPr>
          <w:sz w:val="22"/>
          <w:szCs w:val="18"/>
          <w:lang w:val="cs-CZ"/>
        </w:rPr>
        <w:t>Ú</w:t>
      </w:r>
      <w:r w:rsidR="00E750FE">
        <w:rPr>
          <w:sz w:val="22"/>
          <w:szCs w:val="18"/>
          <w:lang w:val="cs-CZ"/>
        </w:rPr>
        <w:t xml:space="preserve">věr </w:t>
      </w:r>
      <w:proofErr w:type="spellStart"/>
      <w:r w:rsidR="00E750FE">
        <w:rPr>
          <w:sz w:val="22"/>
          <w:szCs w:val="18"/>
          <w:lang w:val="cs-CZ"/>
        </w:rPr>
        <w:t>zesplatnit</w:t>
      </w:r>
      <w:proofErr w:type="spellEnd"/>
      <w:r w:rsidR="00E750FE" w:rsidRPr="00E750FE">
        <w:rPr>
          <w:sz w:val="22"/>
          <w:szCs w:val="18"/>
          <w:lang w:val="cs-CZ"/>
        </w:rPr>
        <w:t xml:space="preserve">, včetně jeho příslušenství a práv spojených s Participacemi, jestliže Úvěrovaný neplní </w:t>
      </w:r>
      <w:r w:rsidR="00E750FE">
        <w:rPr>
          <w:sz w:val="22"/>
          <w:szCs w:val="18"/>
          <w:lang w:val="cs-CZ"/>
        </w:rPr>
        <w:t xml:space="preserve">řádně a včas </w:t>
      </w:r>
      <w:r w:rsidR="00E750FE" w:rsidRPr="00E750FE">
        <w:rPr>
          <w:sz w:val="22"/>
          <w:szCs w:val="18"/>
          <w:lang w:val="cs-CZ"/>
        </w:rPr>
        <w:t xml:space="preserve">své závazky a </w:t>
      </w:r>
      <w:proofErr w:type="spellStart"/>
      <w:r>
        <w:rPr>
          <w:sz w:val="22"/>
          <w:szCs w:val="18"/>
          <w:lang w:val="cs-CZ"/>
        </w:rPr>
        <w:t>Bankee</w:t>
      </w:r>
      <w:proofErr w:type="spellEnd"/>
      <w:r w:rsidR="00E750FE" w:rsidRPr="00E750FE">
        <w:rPr>
          <w:sz w:val="22"/>
          <w:szCs w:val="18"/>
          <w:lang w:val="cs-CZ"/>
        </w:rPr>
        <w:t xml:space="preserve"> vyhodnotí, že </w:t>
      </w:r>
      <w:r>
        <w:rPr>
          <w:sz w:val="22"/>
          <w:szCs w:val="18"/>
          <w:lang w:val="cs-CZ"/>
        </w:rPr>
        <w:t>na základě dosavadní součinnosti Úvěrovaného a zjištěných informací o Úvěrovaném, zejména o jeho finanční sit</w:t>
      </w:r>
      <w:r w:rsidR="008257F3">
        <w:rPr>
          <w:sz w:val="22"/>
          <w:szCs w:val="18"/>
          <w:lang w:val="cs-CZ"/>
        </w:rPr>
        <w:t>ua</w:t>
      </w:r>
      <w:r>
        <w:rPr>
          <w:sz w:val="22"/>
          <w:szCs w:val="18"/>
          <w:lang w:val="cs-CZ"/>
        </w:rPr>
        <w:t xml:space="preserve">ci, </w:t>
      </w:r>
      <w:r w:rsidR="008257F3">
        <w:rPr>
          <w:sz w:val="22"/>
          <w:szCs w:val="18"/>
          <w:lang w:val="cs-CZ"/>
        </w:rPr>
        <w:t xml:space="preserve">je </w:t>
      </w:r>
      <w:r w:rsidR="00E750FE" w:rsidRPr="00E750FE">
        <w:rPr>
          <w:sz w:val="22"/>
          <w:szCs w:val="18"/>
          <w:lang w:val="cs-CZ"/>
        </w:rPr>
        <w:t xml:space="preserve">zesplatnění </w:t>
      </w:r>
      <w:r w:rsidR="00E750FE">
        <w:rPr>
          <w:sz w:val="22"/>
          <w:szCs w:val="18"/>
          <w:lang w:val="cs-CZ"/>
        </w:rPr>
        <w:t xml:space="preserve">Úvěru </w:t>
      </w:r>
      <w:r w:rsidR="008257F3" w:rsidRPr="008257F3">
        <w:rPr>
          <w:sz w:val="22"/>
          <w:szCs w:val="18"/>
          <w:lang w:val="cs-CZ"/>
        </w:rPr>
        <w:t>nejefektivnější</w:t>
      </w:r>
      <w:r w:rsidR="008257F3">
        <w:rPr>
          <w:sz w:val="22"/>
          <w:szCs w:val="18"/>
          <w:lang w:val="cs-CZ"/>
        </w:rPr>
        <w:t>m</w:t>
      </w:r>
      <w:r w:rsidR="008257F3" w:rsidRPr="008257F3">
        <w:rPr>
          <w:sz w:val="22"/>
          <w:szCs w:val="18"/>
          <w:lang w:val="cs-CZ"/>
        </w:rPr>
        <w:t xml:space="preserve"> řešení</w:t>
      </w:r>
      <w:r w:rsidR="008257F3">
        <w:rPr>
          <w:sz w:val="22"/>
          <w:szCs w:val="18"/>
          <w:lang w:val="cs-CZ"/>
        </w:rPr>
        <w:t>m</w:t>
      </w:r>
      <w:r w:rsidR="008257F3" w:rsidRPr="008257F3">
        <w:rPr>
          <w:sz w:val="22"/>
          <w:szCs w:val="18"/>
          <w:lang w:val="cs-CZ"/>
        </w:rPr>
        <w:t xml:space="preserve"> prodlení </w:t>
      </w:r>
      <w:r w:rsidR="008257F3">
        <w:rPr>
          <w:sz w:val="22"/>
          <w:szCs w:val="18"/>
          <w:lang w:val="cs-CZ"/>
        </w:rPr>
        <w:t xml:space="preserve">Úvěrovaného </w:t>
      </w:r>
      <w:r w:rsidR="008257F3" w:rsidRPr="008257F3">
        <w:rPr>
          <w:sz w:val="22"/>
          <w:szCs w:val="18"/>
          <w:lang w:val="cs-CZ"/>
        </w:rPr>
        <w:t>ve splácení Úvěru a souvisejících Participací</w:t>
      </w:r>
      <w:r w:rsidR="008257F3">
        <w:rPr>
          <w:sz w:val="22"/>
          <w:szCs w:val="18"/>
          <w:lang w:val="cs-CZ"/>
        </w:rPr>
        <w:t xml:space="preserve">; bez ohledu na výše uvedené je však </w:t>
      </w:r>
      <w:proofErr w:type="spellStart"/>
      <w:r w:rsidR="008257F3">
        <w:rPr>
          <w:sz w:val="22"/>
          <w:szCs w:val="18"/>
          <w:lang w:val="cs-CZ"/>
        </w:rPr>
        <w:t>Bankee</w:t>
      </w:r>
      <w:proofErr w:type="spellEnd"/>
      <w:r w:rsidR="008257F3">
        <w:rPr>
          <w:sz w:val="22"/>
          <w:szCs w:val="18"/>
          <w:lang w:val="cs-CZ"/>
        </w:rPr>
        <w:t xml:space="preserve"> povinna Úvěr </w:t>
      </w:r>
      <w:proofErr w:type="spellStart"/>
      <w:r w:rsidR="008257F3">
        <w:rPr>
          <w:sz w:val="22"/>
          <w:szCs w:val="18"/>
          <w:lang w:val="cs-CZ"/>
        </w:rPr>
        <w:t>zesplatnit</w:t>
      </w:r>
      <w:proofErr w:type="spellEnd"/>
      <w:r w:rsidR="008257F3">
        <w:rPr>
          <w:sz w:val="22"/>
          <w:szCs w:val="18"/>
          <w:lang w:val="cs-CZ"/>
        </w:rPr>
        <w:t xml:space="preserve"> vždy nejpozději </w:t>
      </w:r>
      <w:r w:rsidR="008257F3" w:rsidRPr="008257F3">
        <w:rPr>
          <w:sz w:val="22"/>
          <w:szCs w:val="18"/>
          <w:lang w:val="cs-CZ"/>
        </w:rPr>
        <w:t xml:space="preserve">po </w:t>
      </w:r>
      <w:r w:rsidR="008257F3" w:rsidRPr="00E615B3">
        <w:rPr>
          <w:sz w:val="22"/>
          <w:szCs w:val="18"/>
          <w:lang w:val="cs-CZ"/>
        </w:rPr>
        <w:t xml:space="preserve">uplynutí </w:t>
      </w:r>
      <w:r w:rsidR="0020053C" w:rsidRPr="00E615B3">
        <w:rPr>
          <w:sz w:val="22"/>
          <w:szCs w:val="18"/>
          <w:lang w:val="cs-CZ"/>
        </w:rPr>
        <w:t xml:space="preserve"> 90 dnů</w:t>
      </w:r>
      <w:r w:rsidR="008257F3" w:rsidRPr="00E615B3">
        <w:rPr>
          <w:sz w:val="22"/>
          <w:szCs w:val="18"/>
          <w:lang w:val="cs-CZ"/>
        </w:rPr>
        <w:t xml:space="preserve"> od</w:t>
      </w:r>
      <w:r w:rsidR="008257F3" w:rsidRPr="008257F3">
        <w:rPr>
          <w:sz w:val="22"/>
          <w:szCs w:val="18"/>
          <w:lang w:val="cs-CZ"/>
        </w:rPr>
        <w:t xml:space="preserve"> počátku aktuálního prodlení Úvěrovaného se splácením.</w:t>
      </w:r>
      <w:bookmarkEnd w:id="11"/>
    </w:p>
    <w:p w14:paraId="4CBC27C4" w14:textId="5594BD5F" w:rsidR="00E750FE" w:rsidRPr="00876C09" w:rsidRDefault="00E750FE" w:rsidP="00E750FE">
      <w:pPr>
        <w:pStyle w:val="Nadpis3"/>
        <w:rPr>
          <w:snapToGrid/>
          <w:sz w:val="22"/>
          <w:szCs w:val="18"/>
          <w:lang w:val="cs-CZ"/>
        </w:rPr>
      </w:pPr>
      <w:r w:rsidRPr="00E750FE">
        <w:rPr>
          <w:snapToGrid/>
          <w:sz w:val="22"/>
          <w:szCs w:val="18"/>
          <w:lang w:val="cs-CZ"/>
        </w:rPr>
        <w:t xml:space="preserve">soudně vymáhat </w:t>
      </w:r>
      <w:r w:rsidR="00286837">
        <w:rPr>
          <w:snapToGrid/>
          <w:sz w:val="22"/>
          <w:szCs w:val="18"/>
          <w:lang w:val="cs-CZ"/>
        </w:rPr>
        <w:t>Splatné pohledávky vztahují se k Participacím</w:t>
      </w:r>
      <w:r>
        <w:rPr>
          <w:snapToGrid/>
          <w:sz w:val="22"/>
          <w:szCs w:val="18"/>
          <w:lang w:val="cs-CZ"/>
        </w:rPr>
        <w:t xml:space="preserve">, </w:t>
      </w:r>
      <w:r w:rsidR="00286837" w:rsidRPr="00286837">
        <w:rPr>
          <w:snapToGrid/>
          <w:sz w:val="22"/>
          <w:szCs w:val="18"/>
          <w:lang w:val="cs-CZ"/>
        </w:rPr>
        <w:t>zejména uplatňovat práva z Participací vůči orgánům veřejné moci a třetím osobám, a to i v rámci vykonávacího nebo insolvenčního řízení</w:t>
      </w:r>
      <w:r w:rsidR="0020053C">
        <w:rPr>
          <w:snapToGrid/>
          <w:sz w:val="22"/>
          <w:szCs w:val="18"/>
          <w:lang w:val="cs-CZ"/>
        </w:rPr>
        <w:t xml:space="preserve">, nedojde-li k odkupu Participace </w:t>
      </w:r>
      <w:r w:rsidR="0020053C" w:rsidRPr="0020053C">
        <w:rPr>
          <w:snapToGrid/>
          <w:sz w:val="22"/>
          <w:szCs w:val="18"/>
          <w:lang w:val="cs-CZ"/>
        </w:rPr>
        <w:t xml:space="preserve">třetí osobou </w:t>
      </w:r>
      <w:r w:rsidR="0069235C">
        <w:rPr>
          <w:snapToGrid/>
          <w:sz w:val="22"/>
          <w:szCs w:val="18"/>
          <w:lang w:val="cs-CZ"/>
        </w:rPr>
        <w:t xml:space="preserve">(tj. k </w:t>
      </w:r>
      <w:r w:rsidR="0069235C">
        <w:rPr>
          <w:sz w:val="22"/>
          <w:szCs w:val="22"/>
          <w:lang w:val="cs-CZ"/>
        </w:rPr>
        <w:t xml:space="preserve">postoupení pohledávek Investora z příslušného Úvěru </w:t>
      </w:r>
      <w:r w:rsidR="00C044A1">
        <w:rPr>
          <w:sz w:val="22"/>
          <w:szCs w:val="22"/>
          <w:lang w:val="cs-CZ"/>
        </w:rPr>
        <w:t xml:space="preserve">zpět na </w:t>
      </w:r>
      <w:proofErr w:type="spellStart"/>
      <w:r w:rsidR="00C044A1">
        <w:rPr>
          <w:sz w:val="22"/>
          <w:szCs w:val="22"/>
          <w:lang w:val="cs-CZ"/>
        </w:rPr>
        <w:t>Bankee</w:t>
      </w:r>
      <w:proofErr w:type="spellEnd"/>
      <w:r w:rsidR="00C044A1">
        <w:rPr>
          <w:sz w:val="22"/>
          <w:szCs w:val="22"/>
          <w:lang w:val="cs-CZ"/>
        </w:rPr>
        <w:t xml:space="preserve"> a následné další postoupení těchto pohledávek ze strany </w:t>
      </w:r>
      <w:proofErr w:type="spellStart"/>
      <w:r w:rsidR="00C044A1">
        <w:rPr>
          <w:sz w:val="22"/>
          <w:szCs w:val="22"/>
          <w:lang w:val="cs-CZ"/>
        </w:rPr>
        <w:t>Bankee</w:t>
      </w:r>
      <w:proofErr w:type="spellEnd"/>
      <w:r w:rsidR="00C044A1">
        <w:rPr>
          <w:sz w:val="22"/>
          <w:szCs w:val="22"/>
          <w:lang w:val="cs-CZ"/>
        </w:rPr>
        <w:t xml:space="preserve"> </w:t>
      </w:r>
      <w:r w:rsidR="0069235C">
        <w:rPr>
          <w:sz w:val="22"/>
          <w:szCs w:val="22"/>
          <w:lang w:val="cs-CZ"/>
        </w:rPr>
        <w:t>na třetí osobu</w:t>
      </w:r>
      <w:r w:rsidR="0069235C">
        <w:rPr>
          <w:snapToGrid/>
          <w:sz w:val="22"/>
          <w:szCs w:val="18"/>
          <w:lang w:val="cs-CZ"/>
        </w:rPr>
        <w:t xml:space="preserve">) určenou </w:t>
      </w:r>
      <w:proofErr w:type="spellStart"/>
      <w:r w:rsidR="0069235C">
        <w:rPr>
          <w:snapToGrid/>
          <w:sz w:val="22"/>
          <w:szCs w:val="18"/>
          <w:lang w:val="cs-CZ"/>
        </w:rPr>
        <w:t>Bankee</w:t>
      </w:r>
      <w:proofErr w:type="spellEnd"/>
      <w:r w:rsidR="0069235C">
        <w:rPr>
          <w:snapToGrid/>
          <w:sz w:val="22"/>
          <w:szCs w:val="18"/>
          <w:lang w:val="cs-CZ"/>
        </w:rPr>
        <w:t xml:space="preserve"> </w:t>
      </w:r>
      <w:r w:rsidR="0020053C" w:rsidRPr="0020053C">
        <w:rPr>
          <w:snapToGrid/>
          <w:sz w:val="22"/>
          <w:szCs w:val="18"/>
          <w:lang w:val="cs-CZ"/>
        </w:rPr>
        <w:t>specializovanou na nákup a vymáhání pohledávek</w:t>
      </w:r>
      <w:r w:rsidR="00876C09">
        <w:rPr>
          <w:snapToGrid/>
          <w:sz w:val="22"/>
          <w:szCs w:val="18"/>
          <w:lang w:val="cs-CZ"/>
        </w:rPr>
        <w:t>;</w:t>
      </w:r>
    </w:p>
    <w:p w14:paraId="2228CA43" w14:textId="44D772F6" w:rsidR="00D1625B" w:rsidRDefault="00E750FE" w:rsidP="00876C09">
      <w:pPr>
        <w:pStyle w:val="Nadpis3"/>
        <w:rPr>
          <w:snapToGrid/>
          <w:sz w:val="22"/>
          <w:szCs w:val="18"/>
          <w:lang w:val="cs-CZ"/>
        </w:rPr>
      </w:pPr>
      <w:bookmarkStart w:id="12" w:name="_Ref213323793"/>
      <w:bookmarkStart w:id="13" w:name="_Ref213332440"/>
      <w:r w:rsidRPr="00876C09">
        <w:rPr>
          <w:snapToGrid/>
          <w:sz w:val="22"/>
          <w:szCs w:val="18"/>
          <w:lang w:val="cs-CZ"/>
        </w:rPr>
        <w:lastRenderedPageBreak/>
        <w:t xml:space="preserve">provádět změny Úvěrové smlouvy, Zajišťovacích dokumentů či jiných smluv uzavřených s Úvěrovaným nebo dokumentů vztahujících se Úvěrovanému, které se týkají Participace, za účelem efektivní správy a vymáhání </w:t>
      </w:r>
      <w:r w:rsidR="00EA3DFB">
        <w:rPr>
          <w:snapToGrid/>
          <w:sz w:val="22"/>
          <w:szCs w:val="18"/>
          <w:lang w:val="cs-CZ"/>
        </w:rPr>
        <w:t>Splatných p</w:t>
      </w:r>
      <w:r w:rsidRPr="00876C09">
        <w:rPr>
          <w:snapToGrid/>
          <w:sz w:val="22"/>
          <w:szCs w:val="18"/>
          <w:lang w:val="cs-CZ"/>
        </w:rPr>
        <w:t xml:space="preserve">ohledávek, a </w:t>
      </w:r>
      <w:r w:rsidR="00D1625B">
        <w:rPr>
          <w:snapToGrid/>
          <w:sz w:val="22"/>
          <w:szCs w:val="18"/>
          <w:lang w:val="cs-CZ"/>
        </w:rPr>
        <w:t xml:space="preserve">v rámci těchto změn </w:t>
      </w:r>
      <w:r w:rsidRPr="00876C09">
        <w:rPr>
          <w:snapToGrid/>
          <w:sz w:val="22"/>
          <w:szCs w:val="18"/>
          <w:lang w:val="cs-CZ"/>
        </w:rPr>
        <w:t>zejména</w:t>
      </w:r>
      <w:r w:rsidR="00D1625B">
        <w:rPr>
          <w:snapToGrid/>
          <w:sz w:val="22"/>
          <w:szCs w:val="18"/>
          <w:lang w:val="cs-CZ"/>
        </w:rPr>
        <w:t>:</w:t>
      </w:r>
    </w:p>
    <w:p w14:paraId="36176299" w14:textId="60A5FCD4" w:rsidR="007557E6" w:rsidRPr="00D1625B" w:rsidRDefault="00286837" w:rsidP="00D1625B">
      <w:pPr>
        <w:pStyle w:val="Nadpis4"/>
        <w:tabs>
          <w:tab w:val="clear" w:pos="2126"/>
          <w:tab w:val="num" w:pos="1843"/>
        </w:tabs>
        <w:ind w:left="1843" w:hanging="425"/>
        <w:rPr>
          <w:snapToGrid/>
          <w:sz w:val="22"/>
          <w:szCs w:val="22"/>
          <w:lang w:val="cs-CZ"/>
        </w:rPr>
      </w:pPr>
      <w:r w:rsidRPr="00D1625B">
        <w:rPr>
          <w:snapToGrid/>
          <w:sz w:val="22"/>
          <w:szCs w:val="22"/>
          <w:lang w:val="cs-CZ"/>
        </w:rPr>
        <w:t>uzavírat dohody s Úvěrovaným o do</w:t>
      </w:r>
      <w:r w:rsidR="00876C09" w:rsidRPr="00D1625B">
        <w:rPr>
          <w:snapToGrid/>
          <w:sz w:val="22"/>
          <w:szCs w:val="22"/>
          <w:lang w:val="cs-CZ"/>
        </w:rPr>
        <w:t xml:space="preserve">datečném </w:t>
      </w:r>
      <w:r w:rsidRPr="00D1625B">
        <w:rPr>
          <w:snapToGrid/>
          <w:sz w:val="22"/>
          <w:szCs w:val="22"/>
          <w:lang w:val="cs-CZ"/>
        </w:rPr>
        <w:t xml:space="preserve">zajištění Úvěru, změně splátkového kalendáře, uznání dluhu, smíru, narovnání či jiných změnách parametrů Úvěru, </w:t>
      </w:r>
      <w:r w:rsidR="00876C09" w:rsidRPr="00D1625B">
        <w:rPr>
          <w:snapToGrid/>
          <w:sz w:val="22"/>
          <w:szCs w:val="22"/>
          <w:lang w:val="cs-CZ"/>
        </w:rPr>
        <w:t>a (</w:t>
      </w:r>
      <w:proofErr w:type="spellStart"/>
      <w:r w:rsidR="00876C09" w:rsidRPr="00D1625B">
        <w:rPr>
          <w:snapToGrid/>
          <w:sz w:val="22"/>
          <w:szCs w:val="22"/>
          <w:lang w:val="cs-CZ"/>
        </w:rPr>
        <w:t>ii</w:t>
      </w:r>
      <w:proofErr w:type="spellEnd"/>
      <w:r w:rsidR="00876C09" w:rsidRPr="00D1625B">
        <w:rPr>
          <w:snapToGrid/>
          <w:sz w:val="22"/>
          <w:szCs w:val="22"/>
          <w:lang w:val="cs-CZ"/>
        </w:rPr>
        <w:t xml:space="preserve">) </w:t>
      </w:r>
      <w:r w:rsidRPr="00D1625B">
        <w:rPr>
          <w:snapToGrid/>
          <w:sz w:val="22"/>
          <w:szCs w:val="22"/>
          <w:lang w:val="cs-CZ"/>
        </w:rPr>
        <w:t>uzavírat dohody nebo činit jednostranná právní jednání vůči Úvěrovanému ohledně úroků, úroků z prodlení, smluvních pokut a jiných nároků (např. částečné odpuštění úroků z prodlení při rychlé nápravě)</w:t>
      </w:r>
      <w:r w:rsidR="00876C09" w:rsidRPr="00D1625B">
        <w:rPr>
          <w:snapToGrid/>
          <w:sz w:val="22"/>
          <w:szCs w:val="22"/>
          <w:lang w:val="cs-CZ"/>
        </w:rPr>
        <w:t xml:space="preserve"> za účelem odvrácení soudního nebo správního řízení o nárocích Investora, předejití zhoršení vymahatelnosti Participace, nebo dosažení jinak přínosného a efektivního způsobu správy Participací</w:t>
      </w:r>
      <w:bookmarkEnd w:id="12"/>
      <w:r w:rsidR="0001488E" w:rsidRPr="00D1625B">
        <w:rPr>
          <w:snapToGrid/>
          <w:sz w:val="22"/>
          <w:szCs w:val="22"/>
          <w:lang w:val="cs-CZ"/>
        </w:rPr>
        <w:t>;</w:t>
      </w:r>
      <w:bookmarkEnd w:id="13"/>
      <w:r w:rsidR="00D1625B" w:rsidRPr="00D1625B">
        <w:rPr>
          <w:snapToGrid/>
          <w:sz w:val="22"/>
          <w:szCs w:val="22"/>
          <w:lang w:val="cs-CZ"/>
        </w:rPr>
        <w:t xml:space="preserve"> a </w:t>
      </w:r>
    </w:p>
    <w:p w14:paraId="4FA44AB2" w14:textId="229C036D" w:rsidR="0001488E" w:rsidRPr="00D1625B" w:rsidRDefault="0001488E" w:rsidP="00D1625B">
      <w:pPr>
        <w:pStyle w:val="Nadpis4"/>
        <w:tabs>
          <w:tab w:val="clear" w:pos="2126"/>
          <w:tab w:val="num" w:pos="1843"/>
        </w:tabs>
        <w:ind w:left="1843" w:hanging="425"/>
        <w:rPr>
          <w:snapToGrid/>
          <w:sz w:val="22"/>
          <w:szCs w:val="22"/>
          <w:lang w:val="cs-CZ"/>
        </w:rPr>
      </w:pPr>
      <w:r w:rsidRPr="00D1625B">
        <w:rPr>
          <w:snapToGrid/>
          <w:sz w:val="22"/>
          <w:szCs w:val="22"/>
          <w:lang w:val="cs-CZ"/>
        </w:rPr>
        <w:t xml:space="preserve">činit další právní i faktické jednání související s pokyny uvedenými v písm. </w:t>
      </w:r>
      <w:r w:rsidRPr="00D1625B">
        <w:rPr>
          <w:snapToGrid/>
          <w:sz w:val="22"/>
          <w:szCs w:val="22"/>
          <w:lang w:val="cs-CZ"/>
        </w:rPr>
        <w:fldChar w:fldCharType="begin"/>
      </w:r>
      <w:r w:rsidRPr="00D1625B">
        <w:rPr>
          <w:snapToGrid/>
          <w:sz w:val="22"/>
          <w:szCs w:val="22"/>
          <w:lang w:val="cs-CZ"/>
        </w:rPr>
        <w:instrText xml:space="preserve"> REF _Ref213332437 \r \h  \* MERGEFORMAT </w:instrText>
      </w:r>
      <w:r w:rsidRPr="00D1625B">
        <w:rPr>
          <w:snapToGrid/>
          <w:sz w:val="22"/>
          <w:szCs w:val="22"/>
          <w:lang w:val="cs-CZ"/>
        </w:rPr>
      </w:r>
      <w:r w:rsidRPr="00D1625B">
        <w:rPr>
          <w:snapToGrid/>
          <w:sz w:val="22"/>
          <w:szCs w:val="22"/>
          <w:lang w:val="cs-CZ"/>
        </w:rPr>
        <w:fldChar w:fldCharType="separate"/>
      </w:r>
      <w:r w:rsidR="0008331A">
        <w:rPr>
          <w:snapToGrid/>
          <w:sz w:val="22"/>
          <w:szCs w:val="22"/>
          <w:lang w:val="cs-CZ"/>
        </w:rPr>
        <w:t>(a)</w:t>
      </w:r>
      <w:r w:rsidRPr="00D1625B">
        <w:rPr>
          <w:snapToGrid/>
          <w:sz w:val="22"/>
          <w:szCs w:val="22"/>
          <w:lang w:val="cs-CZ"/>
        </w:rPr>
        <w:fldChar w:fldCharType="end"/>
      </w:r>
      <w:r w:rsidRPr="00D1625B">
        <w:rPr>
          <w:snapToGrid/>
          <w:sz w:val="22"/>
          <w:szCs w:val="22"/>
          <w:lang w:val="cs-CZ"/>
        </w:rPr>
        <w:t xml:space="preserve"> až </w:t>
      </w:r>
      <w:r w:rsidRPr="00D1625B">
        <w:rPr>
          <w:snapToGrid/>
          <w:sz w:val="22"/>
          <w:szCs w:val="22"/>
          <w:lang w:val="cs-CZ"/>
        </w:rPr>
        <w:fldChar w:fldCharType="begin"/>
      </w:r>
      <w:r w:rsidRPr="00D1625B">
        <w:rPr>
          <w:snapToGrid/>
          <w:sz w:val="22"/>
          <w:szCs w:val="22"/>
          <w:lang w:val="cs-CZ"/>
        </w:rPr>
        <w:instrText xml:space="preserve"> REF _Ref213332440 \r \h  \* MERGEFORMAT </w:instrText>
      </w:r>
      <w:r w:rsidRPr="00D1625B">
        <w:rPr>
          <w:snapToGrid/>
          <w:sz w:val="22"/>
          <w:szCs w:val="22"/>
          <w:lang w:val="cs-CZ"/>
        </w:rPr>
      </w:r>
      <w:r w:rsidRPr="00D1625B">
        <w:rPr>
          <w:snapToGrid/>
          <w:sz w:val="22"/>
          <w:szCs w:val="22"/>
          <w:lang w:val="cs-CZ"/>
        </w:rPr>
        <w:fldChar w:fldCharType="separate"/>
      </w:r>
      <w:r w:rsidR="0008331A">
        <w:rPr>
          <w:snapToGrid/>
          <w:sz w:val="22"/>
          <w:szCs w:val="22"/>
          <w:lang w:val="cs-CZ"/>
        </w:rPr>
        <w:t>(g)</w:t>
      </w:r>
      <w:r w:rsidRPr="00D1625B">
        <w:rPr>
          <w:snapToGrid/>
          <w:sz w:val="22"/>
          <w:szCs w:val="22"/>
          <w:lang w:val="cs-CZ"/>
        </w:rPr>
        <w:fldChar w:fldCharType="end"/>
      </w:r>
      <w:r w:rsidRPr="00D1625B">
        <w:rPr>
          <w:snapToGrid/>
          <w:sz w:val="22"/>
          <w:szCs w:val="22"/>
          <w:lang w:val="cs-CZ"/>
        </w:rPr>
        <w:t xml:space="preserve"> článku </w:t>
      </w:r>
      <w:r w:rsidRPr="00D1625B">
        <w:rPr>
          <w:snapToGrid/>
          <w:sz w:val="22"/>
          <w:szCs w:val="22"/>
          <w:lang w:val="cs-CZ"/>
        </w:rPr>
        <w:fldChar w:fldCharType="begin"/>
      </w:r>
      <w:r w:rsidRPr="00D1625B">
        <w:rPr>
          <w:snapToGrid/>
          <w:sz w:val="22"/>
          <w:szCs w:val="22"/>
          <w:lang w:val="cs-CZ"/>
        </w:rPr>
        <w:instrText xml:space="preserve"> REF _Ref213323790 \r \h  \* MERGEFORMAT </w:instrText>
      </w:r>
      <w:r w:rsidRPr="00D1625B">
        <w:rPr>
          <w:snapToGrid/>
          <w:sz w:val="22"/>
          <w:szCs w:val="22"/>
          <w:lang w:val="cs-CZ"/>
        </w:rPr>
      </w:r>
      <w:r w:rsidRPr="00D1625B">
        <w:rPr>
          <w:snapToGrid/>
          <w:sz w:val="22"/>
          <w:szCs w:val="22"/>
          <w:lang w:val="cs-CZ"/>
        </w:rPr>
        <w:fldChar w:fldCharType="separate"/>
      </w:r>
      <w:r w:rsidR="0008331A">
        <w:rPr>
          <w:snapToGrid/>
          <w:sz w:val="22"/>
          <w:szCs w:val="22"/>
          <w:lang w:val="cs-CZ"/>
        </w:rPr>
        <w:t>4.8</w:t>
      </w:r>
      <w:r w:rsidRPr="00D1625B">
        <w:rPr>
          <w:snapToGrid/>
          <w:sz w:val="22"/>
          <w:szCs w:val="22"/>
          <w:lang w:val="cs-CZ"/>
        </w:rPr>
        <w:fldChar w:fldCharType="end"/>
      </w:r>
      <w:r w:rsidRPr="00D1625B">
        <w:rPr>
          <w:snapToGrid/>
          <w:sz w:val="22"/>
          <w:szCs w:val="22"/>
          <w:lang w:val="cs-CZ"/>
        </w:rPr>
        <w:t xml:space="preserve"> nebo právní i faktické jednání vůči Úvěrovanému, které budou dle odborné péče </w:t>
      </w:r>
      <w:proofErr w:type="spellStart"/>
      <w:r w:rsidRPr="00D1625B">
        <w:rPr>
          <w:snapToGrid/>
          <w:sz w:val="22"/>
          <w:szCs w:val="22"/>
          <w:lang w:val="cs-CZ"/>
        </w:rPr>
        <w:t>Bankee</w:t>
      </w:r>
      <w:proofErr w:type="spellEnd"/>
      <w:r w:rsidRPr="00D1625B">
        <w:rPr>
          <w:snapToGrid/>
          <w:sz w:val="22"/>
          <w:szCs w:val="22"/>
          <w:lang w:val="cs-CZ"/>
        </w:rPr>
        <w:t xml:space="preserve"> v dané situaci v zájmu Investorů.</w:t>
      </w:r>
    </w:p>
    <w:p w14:paraId="5D453B3E" w14:textId="0AD4CBBC" w:rsidR="00876C09" w:rsidRPr="00876C09" w:rsidRDefault="00876C09" w:rsidP="00D1625B">
      <w:pPr>
        <w:pStyle w:val="Nadpis2"/>
        <w:spacing w:before="120" w:after="120"/>
        <w:rPr>
          <w:sz w:val="22"/>
          <w:szCs w:val="18"/>
          <w:lang w:val="cs-CZ"/>
        </w:rPr>
      </w:pPr>
      <w:r w:rsidRPr="00876C09">
        <w:rPr>
          <w:sz w:val="22"/>
          <w:szCs w:val="18"/>
          <w:lang w:val="cs-CZ"/>
        </w:rPr>
        <w:t xml:space="preserve">Právní i faktické jednání dle článku </w:t>
      </w:r>
      <w:r w:rsidRPr="00876C09">
        <w:rPr>
          <w:sz w:val="22"/>
          <w:szCs w:val="18"/>
          <w:lang w:val="cs-CZ"/>
        </w:rPr>
        <w:fldChar w:fldCharType="begin"/>
      </w:r>
      <w:r w:rsidRPr="00876C09">
        <w:rPr>
          <w:sz w:val="22"/>
          <w:szCs w:val="18"/>
          <w:lang w:val="cs-CZ"/>
        </w:rPr>
        <w:instrText xml:space="preserve"> REF _Ref213323790 \r \h </w:instrText>
      </w:r>
      <w:r>
        <w:rPr>
          <w:sz w:val="22"/>
          <w:szCs w:val="18"/>
          <w:lang w:val="cs-CZ"/>
        </w:rPr>
        <w:instrText xml:space="preserve"> \* MERGEFORMAT </w:instrText>
      </w:r>
      <w:r w:rsidRPr="00876C09">
        <w:rPr>
          <w:sz w:val="22"/>
          <w:szCs w:val="18"/>
          <w:lang w:val="cs-CZ"/>
        </w:rPr>
      </w:r>
      <w:r w:rsidRPr="00876C09">
        <w:rPr>
          <w:sz w:val="22"/>
          <w:szCs w:val="18"/>
          <w:lang w:val="cs-CZ"/>
        </w:rPr>
        <w:fldChar w:fldCharType="separate"/>
      </w:r>
      <w:r w:rsidR="0008331A">
        <w:rPr>
          <w:sz w:val="22"/>
          <w:szCs w:val="18"/>
          <w:lang w:val="cs-CZ"/>
        </w:rPr>
        <w:t>4.8</w:t>
      </w:r>
      <w:r w:rsidRPr="00876C09">
        <w:rPr>
          <w:sz w:val="22"/>
          <w:szCs w:val="18"/>
          <w:lang w:val="cs-CZ"/>
        </w:rPr>
        <w:fldChar w:fldCharType="end"/>
      </w:r>
      <w:r w:rsidRPr="00876C09">
        <w:rPr>
          <w:sz w:val="22"/>
          <w:szCs w:val="18"/>
          <w:lang w:val="cs-CZ"/>
        </w:rPr>
        <w:t xml:space="preserve">, písm. </w:t>
      </w:r>
      <w:r w:rsidRPr="00876C09">
        <w:rPr>
          <w:sz w:val="22"/>
          <w:szCs w:val="18"/>
          <w:lang w:val="cs-CZ"/>
        </w:rPr>
        <w:fldChar w:fldCharType="begin"/>
      </w:r>
      <w:r w:rsidRPr="00876C09">
        <w:rPr>
          <w:sz w:val="22"/>
          <w:szCs w:val="18"/>
          <w:lang w:val="cs-CZ"/>
        </w:rPr>
        <w:instrText xml:space="preserve"> REF _Ref213323793 \r \h </w:instrText>
      </w:r>
      <w:r>
        <w:rPr>
          <w:sz w:val="22"/>
          <w:szCs w:val="18"/>
          <w:lang w:val="cs-CZ"/>
        </w:rPr>
        <w:instrText xml:space="preserve"> \* MERGEFORMAT </w:instrText>
      </w:r>
      <w:r w:rsidRPr="00876C09">
        <w:rPr>
          <w:sz w:val="22"/>
          <w:szCs w:val="18"/>
          <w:lang w:val="cs-CZ"/>
        </w:rPr>
      </w:r>
      <w:r w:rsidRPr="00876C09">
        <w:rPr>
          <w:sz w:val="22"/>
          <w:szCs w:val="18"/>
          <w:lang w:val="cs-CZ"/>
        </w:rPr>
        <w:fldChar w:fldCharType="separate"/>
      </w:r>
      <w:r w:rsidR="0008331A">
        <w:rPr>
          <w:sz w:val="22"/>
          <w:szCs w:val="18"/>
          <w:lang w:val="cs-CZ"/>
        </w:rPr>
        <w:t>(g)</w:t>
      </w:r>
      <w:r w:rsidRPr="00876C09">
        <w:rPr>
          <w:sz w:val="22"/>
          <w:szCs w:val="18"/>
          <w:lang w:val="cs-CZ"/>
        </w:rPr>
        <w:fldChar w:fldCharType="end"/>
      </w:r>
      <w:r w:rsidRPr="00876C09">
        <w:rPr>
          <w:sz w:val="22"/>
          <w:szCs w:val="18"/>
          <w:lang w:val="cs-CZ"/>
        </w:rPr>
        <w:t xml:space="preserve"> této Rámcové smlouvy je </w:t>
      </w:r>
      <w:proofErr w:type="spellStart"/>
      <w:r w:rsidRPr="0020053C">
        <w:rPr>
          <w:sz w:val="22"/>
          <w:szCs w:val="18"/>
          <w:lang w:val="cs-CZ"/>
        </w:rPr>
        <w:t>Bankee</w:t>
      </w:r>
      <w:proofErr w:type="spellEnd"/>
      <w:r w:rsidRPr="0020053C">
        <w:rPr>
          <w:sz w:val="22"/>
          <w:szCs w:val="18"/>
          <w:lang w:val="cs-CZ"/>
        </w:rPr>
        <w:t xml:space="preserve"> oprávněna činit jak před zesplatněním Úvěru, tak i po jeho zesplatnění. Hodnota dospělého příslušenství Splatné pohledávky a dospělých smluvních pokut však nesmí v důsledku takového jednání klesnout pod </w:t>
      </w:r>
      <w:r w:rsidRPr="00E615B3">
        <w:rPr>
          <w:sz w:val="22"/>
          <w:szCs w:val="18"/>
          <w:lang w:val="cs-CZ"/>
        </w:rPr>
        <w:t>50 %</w:t>
      </w:r>
      <w:r w:rsidRPr="0020053C">
        <w:rPr>
          <w:sz w:val="22"/>
          <w:szCs w:val="18"/>
          <w:lang w:val="cs-CZ"/>
        </w:rPr>
        <w:t xml:space="preserve"> hodnoty, kterou by měly před zesplatněním Úvěru, nebo </w:t>
      </w:r>
      <w:r w:rsidRPr="00E615B3">
        <w:rPr>
          <w:sz w:val="22"/>
          <w:szCs w:val="18"/>
          <w:lang w:val="cs-CZ"/>
        </w:rPr>
        <w:t>20 %</w:t>
      </w:r>
      <w:r w:rsidRPr="0020053C">
        <w:rPr>
          <w:sz w:val="22"/>
          <w:szCs w:val="18"/>
          <w:lang w:val="cs-CZ"/>
        </w:rPr>
        <w:t xml:space="preserve"> hodnoty, kterou by měly po zesplatnění Úvěru, a to ve srovnání s hodnotou, kterou by mělo takové příslušenství</w:t>
      </w:r>
      <w:r w:rsidRPr="00876C09">
        <w:rPr>
          <w:sz w:val="22"/>
          <w:szCs w:val="18"/>
          <w:lang w:val="cs-CZ"/>
        </w:rPr>
        <w:t xml:space="preserve"> </w:t>
      </w:r>
      <w:r>
        <w:rPr>
          <w:sz w:val="22"/>
          <w:szCs w:val="18"/>
          <w:lang w:val="cs-CZ"/>
        </w:rPr>
        <w:t>Splatné pohledávky</w:t>
      </w:r>
      <w:r w:rsidRPr="00876C09">
        <w:rPr>
          <w:sz w:val="22"/>
          <w:szCs w:val="18"/>
          <w:lang w:val="cs-CZ"/>
        </w:rPr>
        <w:t xml:space="preserve"> a smluvní pokuty, kdyby k uvedeným jednáním nedošlo.</w:t>
      </w:r>
      <w:r w:rsidR="0001488E">
        <w:rPr>
          <w:sz w:val="22"/>
          <w:szCs w:val="18"/>
          <w:lang w:val="cs-CZ"/>
        </w:rPr>
        <w:t xml:space="preserve"> </w:t>
      </w:r>
    </w:p>
    <w:p w14:paraId="21845096" w14:textId="5DE18219" w:rsidR="007557E6" w:rsidRPr="000B5953" w:rsidRDefault="00D1625B" w:rsidP="00D1625B">
      <w:pPr>
        <w:pStyle w:val="Nadpis2"/>
        <w:spacing w:before="120" w:after="120"/>
        <w:rPr>
          <w:sz w:val="22"/>
          <w:szCs w:val="18"/>
          <w:lang w:val="cs-CZ"/>
        </w:rPr>
      </w:pPr>
      <w:r w:rsidRPr="000B5953">
        <w:rPr>
          <w:sz w:val="22"/>
          <w:szCs w:val="18"/>
          <w:lang w:val="cs-CZ"/>
        </w:rPr>
        <w:t xml:space="preserve">O veškerých změnách Úvěrové smlouvy, Zajišťovacích dokumentů či jiných smluv uzavřených s Úvěrovaným nebo dokumentů vztahujících se Úvěrovanému bude </w:t>
      </w:r>
      <w:proofErr w:type="spellStart"/>
      <w:r w:rsidRPr="000B5953">
        <w:rPr>
          <w:sz w:val="22"/>
          <w:szCs w:val="18"/>
          <w:lang w:val="cs-CZ"/>
        </w:rPr>
        <w:t>Bankee</w:t>
      </w:r>
      <w:proofErr w:type="spellEnd"/>
      <w:r w:rsidRPr="000B5953">
        <w:rPr>
          <w:sz w:val="22"/>
          <w:szCs w:val="18"/>
          <w:lang w:val="cs-CZ"/>
        </w:rPr>
        <w:t xml:space="preserve"> informovat Investora </w:t>
      </w:r>
      <w:r w:rsidR="000B5953">
        <w:rPr>
          <w:sz w:val="22"/>
          <w:szCs w:val="18"/>
          <w:lang w:val="cs-CZ"/>
        </w:rPr>
        <w:t>vyznačením příslušné změny na Platformě nebo e-mail</w:t>
      </w:r>
      <w:r w:rsidR="00ED02D3">
        <w:rPr>
          <w:sz w:val="22"/>
          <w:szCs w:val="18"/>
          <w:lang w:val="cs-CZ"/>
        </w:rPr>
        <w:t>em</w:t>
      </w:r>
      <w:r w:rsidR="000B5953">
        <w:rPr>
          <w:sz w:val="22"/>
          <w:szCs w:val="18"/>
          <w:lang w:val="cs-CZ"/>
        </w:rPr>
        <w:t>.</w:t>
      </w:r>
    </w:p>
    <w:p w14:paraId="0D76B839" w14:textId="13BE5D1D" w:rsidR="00876C09" w:rsidRDefault="004C7C0F" w:rsidP="001200F0">
      <w:pPr>
        <w:pStyle w:val="Nadpis2"/>
        <w:numPr>
          <w:ilvl w:val="0"/>
          <w:numId w:val="0"/>
        </w:numPr>
        <w:spacing w:before="240"/>
        <w:ind w:left="709"/>
        <w:rPr>
          <w:sz w:val="22"/>
          <w:szCs w:val="22"/>
          <w:u w:val="single"/>
          <w:lang w:val="cs-CZ"/>
        </w:rPr>
      </w:pPr>
      <w:r w:rsidRPr="001200F0">
        <w:rPr>
          <w:sz w:val="22"/>
          <w:szCs w:val="22"/>
          <w:u w:val="single"/>
          <w:lang w:val="cs-CZ"/>
        </w:rPr>
        <w:t>Výkon práv Investora</w:t>
      </w:r>
    </w:p>
    <w:p w14:paraId="7B2D7AB7" w14:textId="3D3B4E3B" w:rsidR="00883606" w:rsidRDefault="00883606" w:rsidP="00883606">
      <w:pPr>
        <w:pStyle w:val="Nadpis2"/>
        <w:spacing w:before="120" w:after="120"/>
        <w:rPr>
          <w:sz w:val="22"/>
          <w:szCs w:val="18"/>
          <w:lang w:val="cs-CZ"/>
        </w:rPr>
      </w:pPr>
      <w:r w:rsidRPr="00883606">
        <w:rPr>
          <w:sz w:val="22"/>
          <w:szCs w:val="18"/>
          <w:lang w:val="cs-CZ"/>
        </w:rPr>
        <w:t xml:space="preserve">Veškerá práva spojená s Participací vykonává Investor tím, že po dobu trvání Participaci uděluje </w:t>
      </w:r>
      <w:proofErr w:type="spellStart"/>
      <w:r w:rsidRPr="00883606">
        <w:rPr>
          <w:sz w:val="22"/>
          <w:szCs w:val="18"/>
          <w:lang w:val="cs-CZ"/>
        </w:rPr>
        <w:t>Bankee</w:t>
      </w:r>
      <w:proofErr w:type="spellEnd"/>
      <w:r w:rsidRPr="00883606">
        <w:rPr>
          <w:sz w:val="22"/>
          <w:szCs w:val="18"/>
          <w:lang w:val="cs-CZ"/>
        </w:rPr>
        <w:t xml:space="preserve"> pokyny. Udělování těchto pokynů se se řídí výhradně ustanoveními uvedenými v této Rámcové smlouvě a Obchodních podmínkách.</w:t>
      </w:r>
    </w:p>
    <w:p w14:paraId="6B7461A8" w14:textId="52DA94FD" w:rsidR="00883606" w:rsidRPr="00883606" w:rsidRDefault="00883606" w:rsidP="00883606">
      <w:pPr>
        <w:pStyle w:val="Nadpis2"/>
        <w:spacing w:before="120" w:after="120"/>
        <w:rPr>
          <w:lang w:val="cs-CZ"/>
        </w:rPr>
      </w:pPr>
      <w:r w:rsidRPr="00F24A90">
        <w:rPr>
          <w:sz w:val="22"/>
          <w:szCs w:val="18"/>
          <w:lang w:val="cs-CZ"/>
        </w:rPr>
        <w:t>Investo</w:t>
      </w:r>
      <w:r>
        <w:rPr>
          <w:sz w:val="22"/>
          <w:szCs w:val="18"/>
          <w:lang w:val="cs-CZ"/>
        </w:rPr>
        <w:t>r</w:t>
      </w:r>
      <w:r w:rsidRPr="00F24A90">
        <w:rPr>
          <w:sz w:val="22"/>
          <w:szCs w:val="18"/>
          <w:lang w:val="cs-CZ"/>
        </w:rPr>
        <w:t xml:space="preserve"> bere na vědomí a výslovně souhlasí</w:t>
      </w:r>
      <w:r>
        <w:rPr>
          <w:sz w:val="22"/>
          <w:szCs w:val="18"/>
          <w:lang w:val="cs-CZ"/>
        </w:rPr>
        <w:t xml:space="preserve"> s tím, že není oprávněn </w:t>
      </w:r>
      <w:proofErr w:type="spellStart"/>
      <w:r>
        <w:rPr>
          <w:sz w:val="22"/>
          <w:szCs w:val="18"/>
          <w:lang w:val="cs-CZ"/>
        </w:rPr>
        <w:t>Bankee</w:t>
      </w:r>
      <w:proofErr w:type="spellEnd"/>
      <w:r>
        <w:rPr>
          <w:sz w:val="22"/>
          <w:szCs w:val="18"/>
          <w:lang w:val="cs-CZ"/>
        </w:rPr>
        <w:t xml:space="preserve"> udělovat pokyny nad rámec této Rámcové smlouvy a Obchodních podmínek. </w:t>
      </w:r>
    </w:p>
    <w:p w14:paraId="26BCFB88" w14:textId="0A7663A8" w:rsidR="00883606" w:rsidRPr="00883606" w:rsidRDefault="00F24A90" w:rsidP="00883606">
      <w:pPr>
        <w:pStyle w:val="Nadpis2"/>
        <w:numPr>
          <w:ilvl w:val="0"/>
          <w:numId w:val="0"/>
        </w:numPr>
        <w:spacing w:before="240"/>
        <w:ind w:left="709"/>
        <w:rPr>
          <w:sz w:val="22"/>
          <w:szCs w:val="22"/>
          <w:u w:val="single"/>
          <w:lang w:val="cs-CZ"/>
        </w:rPr>
      </w:pPr>
      <w:r>
        <w:rPr>
          <w:sz w:val="22"/>
          <w:szCs w:val="22"/>
          <w:u w:val="single"/>
          <w:lang w:val="cs-CZ"/>
        </w:rPr>
        <w:t>Správa dokumentace</w:t>
      </w:r>
    </w:p>
    <w:p w14:paraId="1410222A" w14:textId="6F089FF3" w:rsidR="00F24A90" w:rsidRDefault="00883606" w:rsidP="00F24A90">
      <w:pPr>
        <w:pStyle w:val="Nadpis2"/>
        <w:spacing w:before="120" w:after="120"/>
        <w:rPr>
          <w:sz w:val="22"/>
          <w:szCs w:val="18"/>
          <w:lang w:val="cs-CZ"/>
        </w:rPr>
      </w:pPr>
      <w:r w:rsidRPr="00F24A90">
        <w:rPr>
          <w:sz w:val="22"/>
          <w:szCs w:val="18"/>
          <w:lang w:val="cs-CZ"/>
        </w:rPr>
        <w:t xml:space="preserve">Investor bere na vědomí a výslovně souhlasí </w:t>
      </w:r>
      <w:r>
        <w:rPr>
          <w:sz w:val="22"/>
          <w:szCs w:val="18"/>
          <w:lang w:val="cs-CZ"/>
        </w:rPr>
        <w:t>s tím, že v</w:t>
      </w:r>
      <w:r w:rsidR="00F24A90">
        <w:rPr>
          <w:sz w:val="22"/>
          <w:szCs w:val="18"/>
          <w:lang w:val="cs-CZ"/>
        </w:rPr>
        <w:t xml:space="preserve">eškerou dokumentaci </w:t>
      </w:r>
      <w:r>
        <w:rPr>
          <w:sz w:val="22"/>
          <w:szCs w:val="18"/>
          <w:lang w:val="cs-CZ"/>
        </w:rPr>
        <w:t xml:space="preserve">související s Participací, včetně zejména Úvěrové smlouvy a Zajišťovacích dokumentů, spravuje výhradně </w:t>
      </w:r>
      <w:proofErr w:type="spellStart"/>
      <w:r>
        <w:rPr>
          <w:sz w:val="22"/>
          <w:szCs w:val="18"/>
          <w:lang w:val="cs-CZ"/>
        </w:rPr>
        <w:t>Bankee</w:t>
      </w:r>
      <w:proofErr w:type="spellEnd"/>
      <w:r>
        <w:rPr>
          <w:sz w:val="22"/>
          <w:szCs w:val="18"/>
          <w:lang w:val="cs-CZ"/>
        </w:rPr>
        <w:t>.</w:t>
      </w:r>
    </w:p>
    <w:p w14:paraId="4B71A782" w14:textId="2E2DACC1" w:rsidR="00883606" w:rsidRPr="00883606" w:rsidRDefault="00883606" w:rsidP="00883606">
      <w:pPr>
        <w:pStyle w:val="Nadpis2"/>
        <w:numPr>
          <w:ilvl w:val="0"/>
          <w:numId w:val="0"/>
        </w:numPr>
        <w:spacing w:before="240"/>
        <w:ind w:left="709"/>
        <w:rPr>
          <w:lang w:val="cs-CZ"/>
        </w:rPr>
      </w:pPr>
      <w:r>
        <w:rPr>
          <w:sz w:val="22"/>
          <w:szCs w:val="22"/>
          <w:u w:val="single"/>
          <w:lang w:val="cs-CZ"/>
        </w:rPr>
        <w:t>R</w:t>
      </w:r>
      <w:r w:rsidRPr="00F24A90">
        <w:rPr>
          <w:sz w:val="22"/>
          <w:szCs w:val="22"/>
          <w:u w:val="single"/>
          <w:lang w:val="cs-CZ"/>
        </w:rPr>
        <w:t>ozsah uveřejněných informací</w:t>
      </w:r>
    </w:p>
    <w:p w14:paraId="7FD51EA0" w14:textId="303063CE" w:rsidR="00F24A90" w:rsidRDefault="00F24A90" w:rsidP="00F24A90">
      <w:pPr>
        <w:pStyle w:val="Nadpis2"/>
        <w:spacing w:before="120" w:after="120"/>
        <w:rPr>
          <w:sz w:val="22"/>
          <w:szCs w:val="18"/>
          <w:lang w:val="cs-CZ"/>
        </w:rPr>
      </w:pPr>
      <w:r w:rsidRPr="00F24A90">
        <w:rPr>
          <w:sz w:val="22"/>
          <w:szCs w:val="18"/>
          <w:lang w:val="cs-CZ"/>
        </w:rPr>
        <w:t>Investo</w:t>
      </w:r>
      <w:r w:rsidR="00883606">
        <w:rPr>
          <w:sz w:val="22"/>
          <w:szCs w:val="18"/>
          <w:lang w:val="cs-CZ"/>
        </w:rPr>
        <w:t>r</w:t>
      </w:r>
      <w:r w:rsidRPr="00F24A90">
        <w:rPr>
          <w:sz w:val="22"/>
          <w:szCs w:val="18"/>
          <w:lang w:val="cs-CZ"/>
        </w:rPr>
        <w:t xml:space="preserve"> bere na vědomí a výslovně souhlasí s rozsahem uveřejněných informací dle článku 3. Obchodních podmínek</w:t>
      </w:r>
      <w:r>
        <w:rPr>
          <w:sz w:val="22"/>
          <w:szCs w:val="18"/>
          <w:lang w:val="cs-CZ"/>
        </w:rPr>
        <w:t xml:space="preserve"> a prohlašuje, že byl o Participaci dostatečně informován prostřednictvím informací zveřejněných na Platformě a v potvrzení o nabytí Participace.</w:t>
      </w:r>
    </w:p>
    <w:p w14:paraId="5E0CE6D1" w14:textId="1B98FA39" w:rsidR="00883606" w:rsidRDefault="00D07619" w:rsidP="00D07619">
      <w:pPr>
        <w:pStyle w:val="Nadpis1"/>
        <w:rPr>
          <w:sz w:val="22"/>
          <w:szCs w:val="22"/>
          <w:lang w:val="cs-CZ"/>
        </w:rPr>
      </w:pPr>
      <w:bookmarkStart w:id="14" w:name="_Ref213421187"/>
      <w:r w:rsidRPr="00D07619">
        <w:rPr>
          <w:sz w:val="22"/>
          <w:szCs w:val="22"/>
          <w:lang w:val="cs-CZ"/>
        </w:rPr>
        <w:t xml:space="preserve">Vymáhání </w:t>
      </w:r>
      <w:r w:rsidR="0053402A">
        <w:rPr>
          <w:sz w:val="22"/>
          <w:szCs w:val="22"/>
          <w:lang w:val="cs-CZ"/>
        </w:rPr>
        <w:t>Splatných Pohledávek</w:t>
      </w:r>
      <w:bookmarkEnd w:id="14"/>
    </w:p>
    <w:p w14:paraId="11FA18B2" w14:textId="2B7E1874" w:rsidR="00D07619" w:rsidRPr="00D07619" w:rsidRDefault="00D07619" w:rsidP="00D07619">
      <w:pPr>
        <w:pStyle w:val="Nadpis2"/>
        <w:numPr>
          <w:ilvl w:val="0"/>
          <w:numId w:val="0"/>
        </w:numPr>
        <w:spacing w:before="240"/>
        <w:ind w:left="709"/>
        <w:rPr>
          <w:sz w:val="22"/>
          <w:szCs w:val="22"/>
          <w:u w:val="single"/>
          <w:lang w:val="cs-CZ"/>
        </w:rPr>
      </w:pPr>
      <w:r w:rsidRPr="00D07619">
        <w:rPr>
          <w:sz w:val="22"/>
          <w:szCs w:val="22"/>
          <w:u w:val="single"/>
          <w:lang w:val="cs-CZ"/>
        </w:rPr>
        <w:t xml:space="preserve">Vymáhání ze strany </w:t>
      </w:r>
      <w:proofErr w:type="spellStart"/>
      <w:r w:rsidRPr="00D07619">
        <w:rPr>
          <w:sz w:val="22"/>
          <w:szCs w:val="22"/>
          <w:u w:val="single"/>
          <w:lang w:val="cs-CZ"/>
        </w:rPr>
        <w:t>Bankee</w:t>
      </w:r>
      <w:proofErr w:type="spellEnd"/>
    </w:p>
    <w:p w14:paraId="0AE7BE17" w14:textId="01DF717C" w:rsidR="008A552F" w:rsidRPr="00E615B3" w:rsidRDefault="008A552F" w:rsidP="00D07619">
      <w:pPr>
        <w:pStyle w:val="Nadpis2"/>
        <w:spacing w:before="120" w:after="120"/>
        <w:rPr>
          <w:sz w:val="22"/>
          <w:szCs w:val="18"/>
          <w:lang w:val="cs-CZ"/>
        </w:rPr>
      </w:pPr>
      <w:bookmarkStart w:id="15" w:name="_Ref216258786"/>
      <w:r w:rsidRPr="008A552F">
        <w:rPr>
          <w:sz w:val="22"/>
          <w:szCs w:val="18"/>
          <w:lang w:val="cs-CZ"/>
        </w:rPr>
        <w:t xml:space="preserve">Správa Participací vykonávaná </w:t>
      </w:r>
      <w:proofErr w:type="spellStart"/>
      <w:r w:rsidRPr="008A552F">
        <w:rPr>
          <w:sz w:val="22"/>
          <w:szCs w:val="18"/>
          <w:lang w:val="cs-CZ"/>
        </w:rPr>
        <w:t>Bankee</w:t>
      </w:r>
      <w:proofErr w:type="spellEnd"/>
      <w:r w:rsidRPr="008A552F">
        <w:rPr>
          <w:sz w:val="22"/>
          <w:szCs w:val="18"/>
          <w:lang w:val="cs-CZ"/>
        </w:rPr>
        <w:t xml:space="preserve"> zahrnuje také vymáhání Splatných pohledávek</w:t>
      </w:r>
      <w:r w:rsidR="0053402A">
        <w:rPr>
          <w:sz w:val="22"/>
          <w:szCs w:val="18"/>
          <w:lang w:val="cs-CZ"/>
        </w:rPr>
        <w:t xml:space="preserve"> od Úvěrovaného</w:t>
      </w:r>
      <w:r w:rsidR="0069235C">
        <w:rPr>
          <w:sz w:val="22"/>
          <w:szCs w:val="18"/>
          <w:lang w:val="cs-CZ"/>
        </w:rPr>
        <w:t xml:space="preserve">, a to primárně v období 90 dnů od vzniku Splatných pohledávek. V této souvislosti </w:t>
      </w:r>
      <w:proofErr w:type="spellStart"/>
      <w:r w:rsidR="0069235C">
        <w:rPr>
          <w:sz w:val="22"/>
          <w:szCs w:val="18"/>
          <w:lang w:val="cs-CZ"/>
        </w:rPr>
        <w:t>Bankee</w:t>
      </w:r>
      <w:proofErr w:type="spellEnd"/>
      <w:r w:rsidR="0069235C">
        <w:rPr>
          <w:sz w:val="22"/>
          <w:szCs w:val="18"/>
          <w:lang w:val="cs-CZ"/>
        </w:rPr>
        <w:t xml:space="preserve"> uvádí a Investor bere na vědomí, že </w:t>
      </w:r>
      <w:proofErr w:type="spellStart"/>
      <w:r w:rsidR="0069235C">
        <w:rPr>
          <w:sz w:val="22"/>
          <w:szCs w:val="18"/>
          <w:lang w:val="cs-CZ"/>
        </w:rPr>
        <w:t>Bankee</w:t>
      </w:r>
      <w:proofErr w:type="spellEnd"/>
      <w:r w:rsidR="0069235C">
        <w:rPr>
          <w:sz w:val="22"/>
          <w:szCs w:val="18"/>
          <w:lang w:val="cs-CZ"/>
        </w:rPr>
        <w:t xml:space="preserve"> bude</w:t>
      </w:r>
      <w:r w:rsidR="007D3727">
        <w:rPr>
          <w:sz w:val="22"/>
          <w:szCs w:val="18"/>
          <w:lang w:val="cs-CZ"/>
        </w:rPr>
        <w:t xml:space="preserve"> dle článku 5.3 Obchodních podmínek </w:t>
      </w:r>
      <w:r w:rsidR="0069235C">
        <w:rPr>
          <w:sz w:val="22"/>
          <w:szCs w:val="18"/>
          <w:lang w:val="cs-CZ"/>
        </w:rPr>
        <w:t xml:space="preserve">vyvíjet maximální úsilí k tomu, aby došlo k zajištění odkupu Participace </w:t>
      </w:r>
      <w:r w:rsidR="0069235C" w:rsidRPr="0069235C">
        <w:rPr>
          <w:sz w:val="22"/>
          <w:szCs w:val="18"/>
          <w:lang w:val="cs-CZ"/>
        </w:rPr>
        <w:t xml:space="preserve">třetí osobou </w:t>
      </w:r>
      <w:r w:rsidR="0069235C">
        <w:rPr>
          <w:sz w:val="22"/>
          <w:szCs w:val="18"/>
          <w:lang w:val="cs-CZ"/>
        </w:rPr>
        <w:t xml:space="preserve">(tj. k postoupení pohledávek </w:t>
      </w:r>
      <w:r w:rsidR="0069235C">
        <w:rPr>
          <w:sz w:val="22"/>
          <w:szCs w:val="22"/>
          <w:lang w:val="cs-CZ"/>
        </w:rPr>
        <w:t xml:space="preserve">Investora z příslušného Úvěru </w:t>
      </w:r>
      <w:r w:rsidR="001C3D2B">
        <w:rPr>
          <w:sz w:val="22"/>
          <w:szCs w:val="22"/>
          <w:lang w:val="cs-CZ"/>
        </w:rPr>
        <w:t xml:space="preserve">zpět na </w:t>
      </w:r>
      <w:proofErr w:type="spellStart"/>
      <w:r w:rsidR="001C3D2B">
        <w:rPr>
          <w:sz w:val="22"/>
          <w:szCs w:val="22"/>
          <w:lang w:val="cs-CZ"/>
        </w:rPr>
        <w:t>Bankee</w:t>
      </w:r>
      <w:proofErr w:type="spellEnd"/>
      <w:r w:rsidR="001C3D2B">
        <w:rPr>
          <w:sz w:val="22"/>
          <w:szCs w:val="22"/>
          <w:lang w:val="cs-CZ"/>
        </w:rPr>
        <w:t xml:space="preserve"> a následné</w:t>
      </w:r>
      <w:r w:rsidR="00C044A1">
        <w:rPr>
          <w:sz w:val="22"/>
          <w:szCs w:val="22"/>
          <w:lang w:val="cs-CZ"/>
        </w:rPr>
        <w:t xml:space="preserve"> další postoupení těchto pohledávek ze strany </w:t>
      </w:r>
      <w:proofErr w:type="spellStart"/>
      <w:r w:rsidR="00C044A1">
        <w:rPr>
          <w:sz w:val="22"/>
          <w:szCs w:val="22"/>
          <w:lang w:val="cs-CZ"/>
        </w:rPr>
        <w:t>Bankee</w:t>
      </w:r>
      <w:proofErr w:type="spellEnd"/>
      <w:r w:rsidR="00C044A1">
        <w:rPr>
          <w:sz w:val="22"/>
          <w:szCs w:val="22"/>
          <w:lang w:val="cs-CZ"/>
        </w:rPr>
        <w:t xml:space="preserve"> </w:t>
      </w:r>
      <w:r w:rsidR="0069235C">
        <w:rPr>
          <w:sz w:val="22"/>
          <w:szCs w:val="22"/>
          <w:lang w:val="cs-CZ"/>
        </w:rPr>
        <w:t>na třetí osobu</w:t>
      </w:r>
      <w:r w:rsidR="0069235C">
        <w:rPr>
          <w:sz w:val="22"/>
          <w:szCs w:val="18"/>
          <w:lang w:val="cs-CZ"/>
        </w:rPr>
        <w:t xml:space="preserve">) </w:t>
      </w:r>
      <w:r w:rsidR="0069235C" w:rsidRPr="00E615B3">
        <w:rPr>
          <w:sz w:val="22"/>
          <w:szCs w:val="18"/>
          <w:lang w:val="cs-CZ"/>
        </w:rPr>
        <w:t>specializovanou na nákup a vymáhání pohledávek, a to za úplatu</w:t>
      </w:r>
      <w:r w:rsidR="000401ED" w:rsidRPr="00E615B3">
        <w:rPr>
          <w:sz w:val="22"/>
          <w:szCs w:val="18"/>
          <w:lang w:val="cs-CZ"/>
        </w:rPr>
        <w:t xml:space="preserve"> hrazenou </w:t>
      </w:r>
      <w:proofErr w:type="spellStart"/>
      <w:r w:rsidR="000401ED" w:rsidRPr="00E615B3">
        <w:rPr>
          <w:sz w:val="22"/>
          <w:szCs w:val="18"/>
          <w:lang w:val="cs-CZ"/>
        </w:rPr>
        <w:t>Bankee</w:t>
      </w:r>
      <w:proofErr w:type="spellEnd"/>
      <w:r w:rsidR="000401ED" w:rsidRPr="00E615B3">
        <w:rPr>
          <w:sz w:val="22"/>
          <w:szCs w:val="18"/>
          <w:lang w:val="cs-CZ"/>
        </w:rPr>
        <w:t xml:space="preserve"> Investorovi ve výši</w:t>
      </w:r>
      <w:r w:rsidR="0069235C" w:rsidRPr="00E615B3">
        <w:rPr>
          <w:sz w:val="22"/>
          <w:szCs w:val="18"/>
          <w:lang w:val="cs-CZ"/>
        </w:rPr>
        <w:t xml:space="preserve"> odpovídající 100</w:t>
      </w:r>
      <w:r w:rsidR="00874C23" w:rsidRPr="00E615B3">
        <w:rPr>
          <w:sz w:val="22"/>
          <w:szCs w:val="18"/>
          <w:lang w:val="cs-CZ"/>
        </w:rPr>
        <w:t xml:space="preserve"> </w:t>
      </w:r>
      <w:r w:rsidR="0069235C" w:rsidRPr="00E615B3">
        <w:rPr>
          <w:sz w:val="22"/>
          <w:szCs w:val="18"/>
          <w:lang w:val="cs-CZ"/>
        </w:rPr>
        <w:t>% nominální hodnotě Splatných pohledávek</w:t>
      </w:r>
      <w:r w:rsidR="00E615B3">
        <w:rPr>
          <w:sz w:val="22"/>
          <w:szCs w:val="18"/>
          <w:lang w:val="cs-CZ"/>
        </w:rPr>
        <w:t xml:space="preserve"> navýšené o smluvní úrok za toto období </w:t>
      </w:r>
      <w:r w:rsidR="0069235C" w:rsidRPr="00E615B3">
        <w:rPr>
          <w:sz w:val="22"/>
          <w:szCs w:val="18"/>
          <w:lang w:val="cs-CZ"/>
        </w:rPr>
        <w:t>(</w:t>
      </w:r>
      <w:r w:rsidR="00E615B3">
        <w:rPr>
          <w:sz w:val="22"/>
          <w:szCs w:val="18"/>
          <w:lang w:val="cs-CZ"/>
        </w:rPr>
        <w:t>avšak bez</w:t>
      </w:r>
      <w:r w:rsidR="0069235C" w:rsidRPr="00E615B3">
        <w:rPr>
          <w:sz w:val="22"/>
          <w:szCs w:val="18"/>
          <w:lang w:val="cs-CZ"/>
        </w:rPr>
        <w:t xml:space="preserve"> úroků z</w:t>
      </w:r>
      <w:r w:rsidR="00830857" w:rsidRPr="00E615B3">
        <w:rPr>
          <w:sz w:val="22"/>
          <w:szCs w:val="18"/>
          <w:lang w:val="cs-CZ"/>
        </w:rPr>
        <w:t> </w:t>
      </w:r>
      <w:r w:rsidR="0069235C" w:rsidRPr="00E615B3">
        <w:rPr>
          <w:sz w:val="22"/>
          <w:szCs w:val="18"/>
          <w:lang w:val="cs-CZ"/>
        </w:rPr>
        <w:t>prodlení</w:t>
      </w:r>
      <w:r w:rsidR="00830857" w:rsidRPr="00E615B3">
        <w:rPr>
          <w:sz w:val="22"/>
          <w:szCs w:val="18"/>
          <w:lang w:val="cs-CZ"/>
        </w:rPr>
        <w:t>,</w:t>
      </w:r>
      <w:r w:rsidR="0069235C" w:rsidRPr="00E615B3">
        <w:rPr>
          <w:sz w:val="22"/>
          <w:szCs w:val="18"/>
          <w:lang w:val="cs-CZ"/>
        </w:rPr>
        <w:t xml:space="preserve"> smluvních pokut</w:t>
      </w:r>
      <w:r w:rsidR="00830857" w:rsidRPr="00E615B3">
        <w:rPr>
          <w:sz w:val="22"/>
          <w:szCs w:val="18"/>
          <w:lang w:val="cs-CZ"/>
        </w:rPr>
        <w:t xml:space="preserve"> </w:t>
      </w:r>
      <w:r w:rsidR="00830857" w:rsidRPr="00E615B3">
        <w:rPr>
          <w:sz w:val="22"/>
          <w:szCs w:val="22"/>
          <w:lang w:val="cs-CZ"/>
        </w:rPr>
        <w:t>a případného dalšího příslušenství</w:t>
      </w:r>
      <w:r w:rsidR="0069235C" w:rsidRPr="00E615B3">
        <w:rPr>
          <w:sz w:val="22"/>
          <w:szCs w:val="18"/>
          <w:lang w:val="cs-CZ"/>
        </w:rPr>
        <w:t>).</w:t>
      </w:r>
      <w:r w:rsidR="007D3727" w:rsidRPr="00E615B3">
        <w:rPr>
          <w:sz w:val="22"/>
          <w:szCs w:val="18"/>
          <w:lang w:val="cs-CZ"/>
        </w:rPr>
        <w:t xml:space="preserve"> Investor tento postup bere na vědomí a výslovně s ním souhlasí.</w:t>
      </w:r>
      <w:bookmarkEnd w:id="15"/>
    </w:p>
    <w:p w14:paraId="5A463653" w14:textId="32591EBD" w:rsidR="00F24A90" w:rsidRPr="008A552F" w:rsidRDefault="00D07619" w:rsidP="00D07619">
      <w:pPr>
        <w:pStyle w:val="Nadpis2"/>
        <w:spacing w:before="120" w:after="120"/>
        <w:rPr>
          <w:sz w:val="22"/>
          <w:szCs w:val="18"/>
          <w:lang w:val="cs-CZ"/>
        </w:rPr>
      </w:pPr>
      <w:r w:rsidRPr="008A552F">
        <w:rPr>
          <w:sz w:val="22"/>
          <w:szCs w:val="18"/>
          <w:lang w:val="cs-CZ"/>
        </w:rPr>
        <w:lastRenderedPageBreak/>
        <w:t xml:space="preserve">V rámci komise sjednané mezi </w:t>
      </w:r>
      <w:proofErr w:type="spellStart"/>
      <w:r w:rsidRPr="008A552F">
        <w:rPr>
          <w:sz w:val="22"/>
          <w:szCs w:val="18"/>
          <w:lang w:val="cs-CZ"/>
        </w:rPr>
        <w:t>Bankee</w:t>
      </w:r>
      <w:proofErr w:type="spellEnd"/>
      <w:r w:rsidRPr="008A552F">
        <w:rPr>
          <w:sz w:val="22"/>
          <w:szCs w:val="18"/>
          <w:lang w:val="cs-CZ"/>
        </w:rPr>
        <w:t xml:space="preserve"> a Investorem a v souladu s ustanovením § 1886 odst. 1 Občanského zákoníku Investor žádá </w:t>
      </w:r>
      <w:proofErr w:type="spellStart"/>
      <w:r w:rsidRPr="008A552F">
        <w:rPr>
          <w:sz w:val="22"/>
          <w:szCs w:val="18"/>
          <w:lang w:val="cs-CZ"/>
        </w:rPr>
        <w:t>Bankee</w:t>
      </w:r>
      <w:proofErr w:type="spellEnd"/>
      <w:r w:rsidRPr="008A552F">
        <w:rPr>
          <w:sz w:val="22"/>
          <w:szCs w:val="18"/>
          <w:lang w:val="cs-CZ"/>
        </w:rPr>
        <w:t xml:space="preserve"> o vymáhání Splatných pohledávek. V této souvislosti Investor výslovně souhlasí s tím, aby k Plnění docházelo pouze prostřednictvím </w:t>
      </w:r>
      <w:proofErr w:type="spellStart"/>
      <w:r w:rsidRPr="008A552F">
        <w:rPr>
          <w:sz w:val="22"/>
          <w:szCs w:val="18"/>
          <w:lang w:val="cs-CZ"/>
        </w:rPr>
        <w:t>Bankee</w:t>
      </w:r>
      <w:proofErr w:type="spellEnd"/>
      <w:r w:rsidRPr="008A552F">
        <w:rPr>
          <w:sz w:val="22"/>
          <w:szCs w:val="18"/>
          <w:lang w:val="cs-CZ"/>
        </w:rPr>
        <w:t>.</w:t>
      </w:r>
    </w:p>
    <w:p w14:paraId="0AC1F1DD" w14:textId="5791C367" w:rsidR="00D07619" w:rsidRDefault="00D07619" w:rsidP="008A552F">
      <w:pPr>
        <w:pStyle w:val="Nadpis2"/>
        <w:spacing w:before="120" w:after="120"/>
        <w:rPr>
          <w:sz w:val="22"/>
          <w:szCs w:val="22"/>
          <w:lang w:val="cs-CZ"/>
        </w:rPr>
      </w:pPr>
      <w:r w:rsidRPr="008A552F">
        <w:rPr>
          <w:sz w:val="22"/>
          <w:szCs w:val="18"/>
          <w:lang w:val="cs-CZ"/>
        </w:rPr>
        <w:t xml:space="preserve">Investor bere na vědomí a výslovně souhlasí s tím, že v rámci komise sjednané mezi smluvními stranami při Správě </w:t>
      </w:r>
      <w:r w:rsidR="008A552F" w:rsidRPr="008A552F">
        <w:rPr>
          <w:sz w:val="22"/>
          <w:szCs w:val="18"/>
          <w:lang w:val="cs-CZ"/>
        </w:rPr>
        <w:t xml:space="preserve">participací není Investor oprávněn Participace, včetně Splatných pohledávek, vymáhat. Zejména pak není Investor oprávněn vůči Úvěrovanému uplatňovat jakékoliv práva </w:t>
      </w:r>
      <w:r w:rsidR="008A552F">
        <w:rPr>
          <w:sz w:val="22"/>
          <w:szCs w:val="18"/>
          <w:lang w:val="cs-CZ"/>
        </w:rPr>
        <w:t xml:space="preserve">z Participací, včetně práv vyplývajících ze Zajištění, ledaže </w:t>
      </w:r>
      <w:r w:rsidR="008A552F" w:rsidRPr="00AD3B21">
        <w:rPr>
          <w:sz w:val="22"/>
          <w:szCs w:val="22"/>
          <w:lang w:val="cs-CZ"/>
        </w:rPr>
        <w:t xml:space="preserve">mu k tomu </w:t>
      </w:r>
      <w:proofErr w:type="spellStart"/>
      <w:r w:rsidR="008A552F" w:rsidRPr="00AD3B21">
        <w:rPr>
          <w:sz w:val="22"/>
          <w:szCs w:val="22"/>
          <w:lang w:val="cs-CZ"/>
        </w:rPr>
        <w:t>Bankee</w:t>
      </w:r>
      <w:proofErr w:type="spellEnd"/>
      <w:r w:rsidR="008A552F" w:rsidRPr="00AD3B21">
        <w:rPr>
          <w:sz w:val="22"/>
          <w:szCs w:val="22"/>
          <w:lang w:val="cs-CZ"/>
        </w:rPr>
        <w:t xml:space="preserve"> ve vztahu ke konkrétní Participaci udělí písemný souhlas.</w:t>
      </w:r>
    </w:p>
    <w:p w14:paraId="7798C06C" w14:textId="4AB479CC" w:rsidR="002E19D9" w:rsidRDefault="003479A0" w:rsidP="002E19D9">
      <w:pPr>
        <w:pStyle w:val="Nadpis2"/>
        <w:spacing w:before="120" w:after="120"/>
        <w:rPr>
          <w:sz w:val="22"/>
          <w:szCs w:val="22"/>
          <w:u w:val="single"/>
          <w:lang w:val="cs-CZ"/>
        </w:rPr>
      </w:pPr>
      <w:r w:rsidRPr="002E19D9">
        <w:rPr>
          <w:sz w:val="22"/>
          <w:szCs w:val="18"/>
          <w:lang w:val="cs-CZ"/>
        </w:rPr>
        <w:t>Investor dále bere na vědomí a souhlasí s tím, že</w:t>
      </w:r>
      <w:r w:rsidR="002E19D9" w:rsidRPr="002E19D9">
        <w:rPr>
          <w:sz w:val="22"/>
          <w:szCs w:val="18"/>
          <w:lang w:val="cs-CZ"/>
        </w:rPr>
        <w:t xml:space="preserve"> </w:t>
      </w:r>
      <w:proofErr w:type="spellStart"/>
      <w:r w:rsidR="002E19D9" w:rsidRPr="002E19D9">
        <w:rPr>
          <w:sz w:val="22"/>
          <w:szCs w:val="18"/>
          <w:lang w:val="cs-CZ"/>
        </w:rPr>
        <w:t>Bankee</w:t>
      </w:r>
      <w:proofErr w:type="spellEnd"/>
      <w:r w:rsidRPr="002E19D9">
        <w:rPr>
          <w:sz w:val="22"/>
          <w:szCs w:val="18"/>
          <w:lang w:val="cs-CZ"/>
        </w:rPr>
        <w:t xml:space="preserve"> veškerá přijatá plnění </w:t>
      </w:r>
      <w:r w:rsidR="002E19D9" w:rsidRPr="002E19D9">
        <w:rPr>
          <w:sz w:val="22"/>
          <w:szCs w:val="18"/>
          <w:lang w:val="cs-CZ"/>
        </w:rPr>
        <w:t xml:space="preserve">získaná vymáháním Splatných pohledávek </w:t>
      </w:r>
      <w:r w:rsidR="007D3727">
        <w:rPr>
          <w:sz w:val="22"/>
          <w:szCs w:val="18"/>
          <w:lang w:val="cs-CZ"/>
        </w:rPr>
        <w:t xml:space="preserve">je oprávněna ponížit </w:t>
      </w:r>
      <w:r w:rsidRPr="002E19D9">
        <w:rPr>
          <w:sz w:val="22"/>
          <w:szCs w:val="18"/>
          <w:lang w:val="cs-CZ"/>
        </w:rPr>
        <w:t xml:space="preserve">o </w:t>
      </w:r>
      <w:r w:rsidRPr="002E19D9">
        <w:rPr>
          <w:sz w:val="22"/>
          <w:szCs w:val="22"/>
          <w:lang w:val="cs-CZ"/>
        </w:rPr>
        <w:t>vynaložené</w:t>
      </w:r>
      <w:r w:rsidRPr="002E19D9">
        <w:rPr>
          <w:sz w:val="22"/>
          <w:szCs w:val="18"/>
          <w:lang w:val="cs-CZ"/>
        </w:rPr>
        <w:t xml:space="preserve"> náklady dle podmínek uvedených v článku 6</w:t>
      </w:r>
      <w:r w:rsidR="002E19D9">
        <w:rPr>
          <w:sz w:val="22"/>
          <w:szCs w:val="18"/>
          <w:lang w:val="cs-CZ"/>
        </w:rPr>
        <w:t>.3</w:t>
      </w:r>
      <w:r w:rsidRPr="002E19D9">
        <w:rPr>
          <w:sz w:val="22"/>
          <w:szCs w:val="18"/>
          <w:lang w:val="cs-CZ"/>
        </w:rPr>
        <w:t xml:space="preserve"> Obchodních podmínek.</w:t>
      </w:r>
      <w:r w:rsidR="002E19D9" w:rsidRPr="002E19D9">
        <w:rPr>
          <w:sz w:val="22"/>
          <w:szCs w:val="18"/>
          <w:lang w:val="cs-CZ"/>
        </w:rPr>
        <w:t xml:space="preserve"> O výši těchto vynaložených nákladů </w:t>
      </w:r>
      <w:proofErr w:type="spellStart"/>
      <w:r w:rsidR="002E19D9">
        <w:rPr>
          <w:sz w:val="22"/>
          <w:szCs w:val="18"/>
          <w:lang w:val="cs-CZ"/>
        </w:rPr>
        <w:t>Bankee</w:t>
      </w:r>
      <w:proofErr w:type="spellEnd"/>
      <w:r w:rsidR="002E19D9">
        <w:rPr>
          <w:sz w:val="22"/>
          <w:szCs w:val="18"/>
          <w:lang w:val="cs-CZ"/>
        </w:rPr>
        <w:t xml:space="preserve"> </w:t>
      </w:r>
      <w:r w:rsidR="002E19D9" w:rsidRPr="002E19D9">
        <w:rPr>
          <w:sz w:val="22"/>
          <w:szCs w:val="18"/>
          <w:lang w:val="cs-CZ"/>
        </w:rPr>
        <w:t>inform</w:t>
      </w:r>
      <w:r w:rsidR="002E19D9">
        <w:rPr>
          <w:sz w:val="22"/>
          <w:szCs w:val="18"/>
          <w:lang w:val="cs-CZ"/>
        </w:rPr>
        <w:t>uje</w:t>
      </w:r>
      <w:r w:rsidR="002E19D9" w:rsidRPr="002E19D9">
        <w:rPr>
          <w:sz w:val="22"/>
          <w:szCs w:val="18"/>
          <w:lang w:val="cs-CZ"/>
        </w:rPr>
        <w:t xml:space="preserve"> </w:t>
      </w:r>
      <w:r w:rsidR="002E19D9" w:rsidRPr="00ED02D3">
        <w:rPr>
          <w:sz w:val="22"/>
          <w:szCs w:val="18"/>
          <w:lang w:val="cs-CZ"/>
        </w:rPr>
        <w:t>Investora zveřejněním informace na Platformě nebo e-mail</w:t>
      </w:r>
      <w:r w:rsidR="00621C5F">
        <w:rPr>
          <w:sz w:val="22"/>
          <w:szCs w:val="18"/>
          <w:lang w:val="cs-CZ"/>
        </w:rPr>
        <w:t>em</w:t>
      </w:r>
      <w:r w:rsidR="002E19D9">
        <w:rPr>
          <w:sz w:val="22"/>
          <w:szCs w:val="22"/>
          <w:lang w:val="cs-CZ"/>
        </w:rPr>
        <w:t>.</w:t>
      </w:r>
    </w:p>
    <w:p w14:paraId="222541B4" w14:textId="4DE8D0A2" w:rsidR="0053402A" w:rsidRPr="002E19D9" w:rsidRDefault="0053402A" w:rsidP="00C67742">
      <w:pPr>
        <w:pStyle w:val="Nadpis2"/>
        <w:numPr>
          <w:ilvl w:val="0"/>
          <w:numId w:val="0"/>
        </w:numPr>
        <w:spacing w:before="240" w:after="120"/>
        <w:ind w:left="709"/>
        <w:rPr>
          <w:sz w:val="22"/>
          <w:szCs w:val="22"/>
          <w:u w:val="single"/>
          <w:lang w:val="cs-CZ"/>
        </w:rPr>
      </w:pPr>
      <w:r w:rsidRPr="002E19D9">
        <w:rPr>
          <w:sz w:val="22"/>
          <w:szCs w:val="22"/>
          <w:u w:val="single"/>
          <w:lang w:val="cs-CZ"/>
        </w:rPr>
        <w:t>Rozsah vymáhání</w:t>
      </w:r>
    </w:p>
    <w:p w14:paraId="27A5BB9D" w14:textId="01E2B3B8" w:rsidR="004D0ED4" w:rsidRPr="00EA3DFB" w:rsidRDefault="004D0ED4" w:rsidP="004D0ED4">
      <w:pPr>
        <w:pStyle w:val="Nadpis2"/>
        <w:spacing w:before="120" w:after="120"/>
        <w:rPr>
          <w:sz w:val="22"/>
          <w:szCs w:val="22"/>
          <w:lang w:val="cs-CZ"/>
        </w:rPr>
      </w:pPr>
      <w:proofErr w:type="spellStart"/>
      <w:r>
        <w:rPr>
          <w:sz w:val="22"/>
          <w:szCs w:val="22"/>
          <w:lang w:val="cs-CZ"/>
        </w:rPr>
        <w:t>Bankee</w:t>
      </w:r>
      <w:proofErr w:type="spellEnd"/>
      <w:r>
        <w:rPr>
          <w:sz w:val="22"/>
          <w:szCs w:val="22"/>
          <w:lang w:val="cs-CZ"/>
        </w:rPr>
        <w:t xml:space="preserve"> a Investor se dohodl</w:t>
      </w:r>
      <w:r w:rsidR="00EA3DFB">
        <w:rPr>
          <w:sz w:val="22"/>
          <w:szCs w:val="22"/>
          <w:lang w:val="cs-CZ"/>
        </w:rPr>
        <w:t>i</w:t>
      </w:r>
      <w:r>
        <w:rPr>
          <w:sz w:val="22"/>
          <w:szCs w:val="22"/>
          <w:lang w:val="cs-CZ"/>
        </w:rPr>
        <w:t xml:space="preserve">, že rozsah a způsob vymáhání Splatných pohledávek, včetně </w:t>
      </w:r>
      <w:r w:rsidR="00EA3DFB">
        <w:rPr>
          <w:sz w:val="22"/>
          <w:szCs w:val="22"/>
          <w:lang w:val="cs-CZ"/>
        </w:rPr>
        <w:t xml:space="preserve">všech souvisejících kroků, určuje </w:t>
      </w:r>
      <w:proofErr w:type="spellStart"/>
      <w:r w:rsidR="00EA3DFB">
        <w:rPr>
          <w:sz w:val="22"/>
          <w:szCs w:val="22"/>
          <w:lang w:val="cs-CZ"/>
        </w:rPr>
        <w:t>Bankee</w:t>
      </w:r>
      <w:proofErr w:type="spellEnd"/>
      <w:r w:rsidR="00EA3DFB">
        <w:rPr>
          <w:sz w:val="22"/>
          <w:szCs w:val="22"/>
          <w:lang w:val="cs-CZ"/>
        </w:rPr>
        <w:t>.</w:t>
      </w:r>
    </w:p>
    <w:p w14:paraId="69A69810" w14:textId="607D8455" w:rsidR="0053402A" w:rsidRPr="00E615B3" w:rsidRDefault="00EA3DFB" w:rsidP="007D3727">
      <w:pPr>
        <w:pStyle w:val="Nadpis2"/>
        <w:rPr>
          <w:sz w:val="22"/>
          <w:szCs w:val="22"/>
          <w:lang w:val="cs-CZ"/>
        </w:rPr>
      </w:pPr>
      <w:proofErr w:type="spellStart"/>
      <w:r w:rsidRPr="00E615B3">
        <w:rPr>
          <w:sz w:val="22"/>
          <w:szCs w:val="22"/>
          <w:lang w:val="cs-CZ"/>
        </w:rPr>
        <w:t>Bankee</w:t>
      </w:r>
      <w:proofErr w:type="spellEnd"/>
      <w:r w:rsidRPr="00E615B3">
        <w:rPr>
          <w:sz w:val="22"/>
          <w:szCs w:val="22"/>
          <w:lang w:val="cs-CZ"/>
        </w:rPr>
        <w:t xml:space="preserve"> je oprávněna po Úvěrovaném vymáhat úhradu jakýchkoli Splatných pohledávek, a to i prostřednictvím realizace Zajištění</w:t>
      </w:r>
      <w:r w:rsidR="007D3727" w:rsidRPr="00E615B3">
        <w:rPr>
          <w:sz w:val="22"/>
          <w:szCs w:val="22"/>
          <w:lang w:val="cs-CZ"/>
        </w:rPr>
        <w:t xml:space="preserve">, pokud by </w:t>
      </w:r>
      <w:r w:rsidR="00B509E7">
        <w:rPr>
          <w:sz w:val="22"/>
          <w:szCs w:val="22"/>
          <w:lang w:val="cs-CZ"/>
        </w:rPr>
        <w:t>po</w:t>
      </w:r>
      <w:r w:rsidR="007D3727">
        <w:rPr>
          <w:sz w:val="22"/>
          <w:szCs w:val="22"/>
          <w:lang w:val="cs-CZ"/>
        </w:rPr>
        <w:t xml:space="preserve">dle článku </w:t>
      </w:r>
      <w:r w:rsidR="007D3727">
        <w:rPr>
          <w:sz w:val="22"/>
          <w:szCs w:val="22"/>
          <w:lang w:val="cs-CZ"/>
        </w:rPr>
        <w:fldChar w:fldCharType="begin"/>
      </w:r>
      <w:r w:rsidR="007D3727">
        <w:rPr>
          <w:sz w:val="22"/>
          <w:szCs w:val="22"/>
          <w:lang w:val="cs-CZ"/>
        </w:rPr>
        <w:instrText xml:space="preserve"> REF _Ref216258786 \r \h </w:instrText>
      </w:r>
      <w:r w:rsidR="007D3727">
        <w:rPr>
          <w:sz w:val="22"/>
          <w:szCs w:val="22"/>
          <w:lang w:val="cs-CZ"/>
        </w:rPr>
      </w:r>
      <w:r w:rsidR="007D3727">
        <w:rPr>
          <w:sz w:val="22"/>
          <w:szCs w:val="22"/>
          <w:lang w:val="cs-CZ"/>
        </w:rPr>
        <w:fldChar w:fldCharType="separate"/>
      </w:r>
      <w:r w:rsidR="007D3727">
        <w:rPr>
          <w:sz w:val="22"/>
          <w:szCs w:val="22"/>
          <w:lang w:val="cs-CZ"/>
        </w:rPr>
        <w:t>5.1</w:t>
      </w:r>
      <w:r w:rsidR="007D3727">
        <w:rPr>
          <w:sz w:val="22"/>
          <w:szCs w:val="22"/>
          <w:lang w:val="cs-CZ"/>
        </w:rPr>
        <w:fldChar w:fldCharType="end"/>
      </w:r>
      <w:r w:rsidR="007D3727">
        <w:rPr>
          <w:sz w:val="22"/>
          <w:szCs w:val="22"/>
          <w:lang w:val="cs-CZ"/>
        </w:rPr>
        <w:t xml:space="preserve"> této Rámcové smlouvy a článku </w:t>
      </w:r>
      <w:r w:rsidR="00B509E7">
        <w:rPr>
          <w:sz w:val="22"/>
          <w:szCs w:val="18"/>
          <w:lang w:val="cs-CZ"/>
        </w:rPr>
        <w:t xml:space="preserve">5.3 Obchodních podmínek, </w:t>
      </w:r>
      <w:r w:rsidR="007D3727" w:rsidRPr="00E615B3">
        <w:rPr>
          <w:sz w:val="22"/>
          <w:szCs w:val="22"/>
          <w:lang w:val="cs-CZ"/>
        </w:rPr>
        <w:t xml:space="preserve">i přes maximální úsilí vynaložené </w:t>
      </w:r>
      <w:proofErr w:type="spellStart"/>
      <w:r w:rsidR="007D3727" w:rsidRPr="00E615B3">
        <w:rPr>
          <w:sz w:val="22"/>
          <w:szCs w:val="22"/>
          <w:lang w:val="cs-CZ"/>
        </w:rPr>
        <w:t>Bankee</w:t>
      </w:r>
      <w:proofErr w:type="spellEnd"/>
      <w:r w:rsidR="00B509E7">
        <w:rPr>
          <w:sz w:val="22"/>
          <w:szCs w:val="22"/>
          <w:lang w:val="cs-CZ"/>
        </w:rPr>
        <w:t xml:space="preserve">, </w:t>
      </w:r>
      <w:r w:rsidR="007D3727" w:rsidRPr="00E615B3">
        <w:rPr>
          <w:sz w:val="22"/>
          <w:szCs w:val="22"/>
          <w:lang w:val="cs-CZ"/>
        </w:rPr>
        <w:t>nedošlo k odkupu</w:t>
      </w:r>
      <w:r w:rsidR="007D3727" w:rsidRPr="007D3727">
        <w:rPr>
          <w:sz w:val="22"/>
          <w:szCs w:val="22"/>
          <w:lang w:val="cs-CZ"/>
        </w:rPr>
        <w:t xml:space="preserve"> Participace třetí osobou specializovanou na nákup a vymáhání pohledávek</w:t>
      </w:r>
      <w:r w:rsidRPr="00E615B3">
        <w:rPr>
          <w:sz w:val="22"/>
          <w:szCs w:val="22"/>
          <w:lang w:val="cs-CZ"/>
        </w:rPr>
        <w:t xml:space="preserve">. Investor bere na vědomí a výslovně souhlasí s rozsahem a standardem vymáhání Splatných pohledávek podle článku 5.3 Obchodních podmínek, jakož i s oprávněním </w:t>
      </w:r>
      <w:proofErr w:type="spellStart"/>
      <w:r w:rsidRPr="00E615B3">
        <w:rPr>
          <w:sz w:val="22"/>
          <w:szCs w:val="22"/>
          <w:lang w:val="cs-CZ"/>
        </w:rPr>
        <w:t>Bankee</w:t>
      </w:r>
      <w:proofErr w:type="spellEnd"/>
      <w:r w:rsidRPr="00E615B3">
        <w:rPr>
          <w:sz w:val="22"/>
          <w:szCs w:val="22"/>
          <w:lang w:val="cs-CZ"/>
        </w:rPr>
        <w:t xml:space="preserve"> činit právní a faktická jednání podle článku </w:t>
      </w:r>
      <w:r w:rsidRPr="00E615B3">
        <w:rPr>
          <w:sz w:val="22"/>
          <w:szCs w:val="22"/>
          <w:lang w:val="cs-CZ"/>
        </w:rPr>
        <w:fldChar w:fldCharType="begin"/>
      </w:r>
      <w:r w:rsidRPr="00E615B3">
        <w:rPr>
          <w:sz w:val="22"/>
          <w:szCs w:val="22"/>
          <w:lang w:val="cs-CZ"/>
        </w:rPr>
        <w:instrText xml:space="preserve"> REF _Ref213323790 \r \h  \* MERGEFORMAT </w:instrText>
      </w:r>
      <w:r w:rsidRPr="00E615B3">
        <w:rPr>
          <w:sz w:val="22"/>
          <w:szCs w:val="22"/>
          <w:lang w:val="cs-CZ"/>
        </w:rPr>
      </w:r>
      <w:r w:rsidRPr="00E615B3">
        <w:rPr>
          <w:sz w:val="22"/>
          <w:szCs w:val="22"/>
          <w:lang w:val="cs-CZ"/>
        </w:rPr>
        <w:fldChar w:fldCharType="separate"/>
      </w:r>
      <w:r w:rsidR="0008331A" w:rsidRPr="00E615B3">
        <w:rPr>
          <w:sz w:val="22"/>
          <w:szCs w:val="22"/>
          <w:lang w:val="cs-CZ"/>
        </w:rPr>
        <w:t>4.8</w:t>
      </w:r>
      <w:r w:rsidRPr="00E615B3">
        <w:rPr>
          <w:sz w:val="22"/>
          <w:szCs w:val="22"/>
          <w:lang w:val="cs-CZ"/>
        </w:rPr>
        <w:fldChar w:fldCharType="end"/>
      </w:r>
      <w:r w:rsidRPr="00E615B3">
        <w:rPr>
          <w:sz w:val="22"/>
          <w:szCs w:val="22"/>
          <w:lang w:val="cs-CZ"/>
        </w:rPr>
        <w:t xml:space="preserve">, písm. </w:t>
      </w:r>
      <w:r w:rsidRPr="00E615B3">
        <w:rPr>
          <w:sz w:val="22"/>
          <w:szCs w:val="22"/>
          <w:lang w:val="cs-CZ"/>
        </w:rPr>
        <w:fldChar w:fldCharType="begin"/>
      </w:r>
      <w:r w:rsidRPr="00E615B3">
        <w:rPr>
          <w:sz w:val="22"/>
          <w:szCs w:val="22"/>
          <w:lang w:val="cs-CZ"/>
        </w:rPr>
        <w:instrText xml:space="preserve"> REF _Ref213323793 \r \h  \* MERGEFORMAT </w:instrText>
      </w:r>
      <w:r w:rsidRPr="00E615B3">
        <w:rPr>
          <w:sz w:val="22"/>
          <w:szCs w:val="22"/>
          <w:lang w:val="cs-CZ"/>
        </w:rPr>
      </w:r>
      <w:r w:rsidRPr="00E615B3">
        <w:rPr>
          <w:sz w:val="22"/>
          <w:szCs w:val="22"/>
          <w:lang w:val="cs-CZ"/>
        </w:rPr>
        <w:fldChar w:fldCharType="separate"/>
      </w:r>
      <w:r w:rsidR="0008331A" w:rsidRPr="00E615B3">
        <w:rPr>
          <w:sz w:val="22"/>
          <w:szCs w:val="22"/>
          <w:lang w:val="cs-CZ"/>
        </w:rPr>
        <w:t>(g)</w:t>
      </w:r>
      <w:r w:rsidRPr="00E615B3">
        <w:rPr>
          <w:sz w:val="22"/>
          <w:szCs w:val="22"/>
          <w:lang w:val="cs-CZ"/>
        </w:rPr>
        <w:fldChar w:fldCharType="end"/>
      </w:r>
      <w:r w:rsidRPr="00E615B3">
        <w:rPr>
          <w:sz w:val="22"/>
          <w:szCs w:val="22"/>
          <w:lang w:val="cs-CZ"/>
        </w:rPr>
        <w:t xml:space="preserve"> této Rámcové smlouvy.</w:t>
      </w:r>
    </w:p>
    <w:p w14:paraId="278BA13C" w14:textId="5CB1ADE1" w:rsidR="00AE5BDE" w:rsidRDefault="00AE5BDE" w:rsidP="00AE5BDE">
      <w:pPr>
        <w:pStyle w:val="Nadpis2"/>
        <w:numPr>
          <w:ilvl w:val="0"/>
          <w:numId w:val="0"/>
        </w:numPr>
        <w:spacing w:before="240"/>
        <w:ind w:left="709"/>
        <w:rPr>
          <w:sz w:val="22"/>
          <w:szCs w:val="22"/>
          <w:u w:val="single"/>
          <w:lang w:val="cs-CZ"/>
        </w:rPr>
      </w:pPr>
      <w:r w:rsidRPr="00AE5BDE">
        <w:rPr>
          <w:sz w:val="22"/>
          <w:szCs w:val="22"/>
          <w:u w:val="single"/>
          <w:lang w:val="cs-CZ"/>
        </w:rPr>
        <w:t>Ukončení</w:t>
      </w:r>
      <w:r>
        <w:rPr>
          <w:sz w:val="22"/>
          <w:szCs w:val="22"/>
          <w:u w:val="single"/>
          <w:lang w:val="cs-CZ"/>
        </w:rPr>
        <w:t xml:space="preserve"> </w:t>
      </w:r>
      <w:r w:rsidRPr="00AE5BDE">
        <w:rPr>
          <w:sz w:val="22"/>
          <w:szCs w:val="22"/>
          <w:u w:val="single"/>
          <w:lang w:val="cs-CZ"/>
        </w:rPr>
        <w:t>vymáhání</w:t>
      </w:r>
    </w:p>
    <w:p w14:paraId="632DB056" w14:textId="22153B5E" w:rsidR="00B509E7" w:rsidRPr="00E615B3" w:rsidRDefault="00B509E7" w:rsidP="00E615B3">
      <w:pPr>
        <w:pStyle w:val="Nadpis2"/>
        <w:spacing w:before="120" w:after="120"/>
        <w:rPr>
          <w:sz w:val="22"/>
          <w:szCs w:val="22"/>
          <w:lang w:val="cs-CZ"/>
        </w:rPr>
      </w:pPr>
      <w:r>
        <w:rPr>
          <w:sz w:val="22"/>
          <w:szCs w:val="22"/>
          <w:lang w:val="cs-CZ"/>
        </w:rPr>
        <w:t>U</w:t>
      </w:r>
      <w:r w:rsidRPr="00E615B3">
        <w:rPr>
          <w:sz w:val="22"/>
          <w:szCs w:val="22"/>
          <w:lang w:val="cs-CZ"/>
        </w:rPr>
        <w:t xml:space="preserve">stanovení týkající se ukončení vymáhání </w:t>
      </w:r>
      <w:r>
        <w:rPr>
          <w:sz w:val="22"/>
          <w:szCs w:val="22"/>
          <w:lang w:val="cs-CZ"/>
        </w:rPr>
        <w:t xml:space="preserve">Splatných pohledávek </w:t>
      </w:r>
      <w:r w:rsidRPr="00E615B3">
        <w:rPr>
          <w:sz w:val="22"/>
          <w:szCs w:val="22"/>
          <w:lang w:val="cs-CZ"/>
        </w:rPr>
        <w:t xml:space="preserve">uvedená v článcích </w:t>
      </w:r>
      <w:r w:rsidRPr="00E615B3">
        <w:rPr>
          <w:sz w:val="22"/>
          <w:szCs w:val="22"/>
          <w:lang w:val="cs-CZ"/>
        </w:rPr>
        <w:fldChar w:fldCharType="begin"/>
      </w:r>
      <w:r w:rsidRPr="00E615B3">
        <w:rPr>
          <w:sz w:val="22"/>
          <w:szCs w:val="22"/>
          <w:lang w:val="cs-CZ"/>
        </w:rPr>
        <w:instrText xml:space="preserve"> REF _Ref216259138 \r \h </w:instrText>
      </w:r>
      <w:r>
        <w:rPr>
          <w:sz w:val="22"/>
          <w:szCs w:val="22"/>
          <w:lang w:val="cs-CZ"/>
        </w:rPr>
        <w:instrText xml:space="preserve"> \* MERGEFORMAT </w:instrText>
      </w:r>
      <w:r w:rsidRPr="00E615B3">
        <w:rPr>
          <w:sz w:val="22"/>
          <w:szCs w:val="22"/>
          <w:lang w:val="cs-CZ"/>
        </w:rPr>
      </w:r>
      <w:r w:rsidRPr="00E615B3">
        <w:rPr>
          <w:sz w:val="22"/>
          <w:szCs w:val="22"/>
          <w:lang w:val="cs-CZ"/>
        </w:rPr>
        <w:fldChar w:fldCharType="separate"/>
      </w:r>
      <w:r>
        <w:rPr>
          <w:sz w:val="22"/>
          <w:szCs w:val="22"/>
          <w:lang w:val="cs-CZ"/>
        </w:rPr>
        <w:t>5.8</w:t>
      </w:r>
      <w:r w:rsidRPr="00E615B3">
        <w:rPr>
          <w:sz w:val="22"/>
          <w:szCs w:val="22"/>
          <w:lang w:val="cs-CZ"/>
        </w:rPr>
        <w:fldChar w:fldCharType="end"/>
      </w:r>
      <w:r w:rsidRPr="00E615B3">
        <w:rPr>
          <w:sz w:val="22"/>
          <w:szCs w:val="22"/>
          <w:lang w:val="cs-CZ"/>
        </w:rPr>
        <w:t xml:space="preserve"> a </w:t>
      </w:r>
      <w:r w:rsidRPr="00E615B3">
        <w:rPr>
          <w:sz w:val="22"/>
          <w:szCs w:val="22"/>
          <w:lang w:val="cs-CZ"/>
        </w:rPr>
        <w:fldChar w:fldCharType="begin"/>
      </w:r>
      <w:r w:rsidRPr="00E615B3">
        <w:rPr>
          <w:sz w:val="22"/>
          <w:szCs w:val="22"/>
          <w:lang w:val="cs-CZ"/>
        </w:rPr>
        <w:instrText xml:space="preserve"> REF _Ref216259139 \r \h </w:instrText>
      </w:r>
      <w:r>
        <w:rPr>
          <w:sz w:val="22"/>
          <w:szCs w:val="22"/>
          <w:lang w:val="cs-CZ"/>
        </w:rPr>
        <w:instrText xml:space="preserve"> \* MERGEFORMAT </w:instrText>
      </w:r>
      <w:r w:rsidRPr="00E615B3">
        <w:rPr>
          <w:sz w:val="22"/>
          <w:szCs w:val="22"/>
          <w:lang w:val="cs-CZ"/>
        </w:rPr>
      </w:r>
      <w:r w:rsidRPr="00E615B3">
        <w:rPr>
          <w:sz w:val="22"/>
          <w:szCs w:val="22"/>
          <w:lang w:val="cs-CZ"/>
        </w:rPr>
        <w:fldChar w:fldCharType="separate"/>
      </w:r>
      <w:r>
        <w:rPr>
          <w:sz w:val="22"/>
          <w:szCs w:val="22"/>
          <w:lang w:val="cs-CZ"/>
        </w:rPr>
        <w:t>5.9</w:t>
      </w:r>
      <w:r w:rsidRPr="00E615B3">
        <w:rPr>
          <w:sz w:val="22"/>
          <w:szCs w:val="22"/>
          <w:lang w:val="cs-CZ"/>
        </w:rPr>
        <w:fldChar w:fldCharType="end"/>
      </w:r>
      <w:r w:rsidRPr="00E615B3">
        <w:rPr>
          <w:sz w:val="22"/>
          <w:szCs w:val="22"/>
          <w:lang w:val="cs-CZ"/>
        </w:rPr>
        <w:t xml:space="preserve"> </w:t>
      </w:r>
      <w:r>
        <w:rPr>
          <w:sz w:val="22"/>
          <w:szCs w:val="22"/>
          <w:lang w:val="cs-CZ"/>
        </w:rPr>
        <w:t xml:space="preserve">níže </w:t>
      </w:r>
      <w:r w:rsidRPr="00E615B3">
        <w:rPr>
          <w:sz w:val="22"/>
          <w:szCs w:val="22"/>
          <w:lang w:val="cs-CZ"/>
        </w:rPr>
        <w:t xml:space="preserve">této Rámcové smlouvy se uplatní </w:t>
      </w:r>
      <w:r>
        <w:rPr>
          <w:sz w:val="22"/>
          <w:szCs w:val="22"/>
          <w:lang w:val="cs-CZ"/>
        </w:rPr>
        <w:t>pouze v případě, že ani</w:t>
      </w:r>
      <w:r w:rsidRPr="004A1414">
        <w:rPr>
          <w:sz w:val="22"/>
          <w:szCs w:val="22"/>
          <w:lang w:val="cs-CZ"/>
        </w:rPr>
        <w:t xml:space="preserve"> přes maximální úsilí vynaložené </w:t>
      </w:r>
      <w:proofErr w:type="spellStart"/>
      <w:r w:rsidRPr="004A1414">
        <w:rPr>
          <w:sz w:val="22"/>
          <w:szCs w:val="22"/>
          <w:lang w:val="cs-CZ"/>
        </w:rPr>
        <w:t>Bankee</w:t>
      </w:r>
      <w:proofErr w:type="spellEnd"/>
      <w:r>
        <w:rPr>
          <w:sz w:val="22"/>
          <w:szCs w:val="22"/>
          <w:lang w:val="cs-CZ"/>
        </w:rPr>
        <w:t xml:space="preserve"> </w:t>
      </w:r>
      <w:r w:rsidRPr="004A1414">
        <w:rPr>
          <w:sz w:val="22"/>
          <w:szCs w:val="22"/>
          <w:lang w:val="cs-CZ"/>
        </w:rPr>
        <w:t>nedo</w:t>
      </w:r>
      <w:r>
        <w:rPr>
          <w:sz w:val="22"/>
          <w:szCs w:val="22"/>
          <w:lang w:val="cs-CZ"/>
        </w:rPr>
        <w:t xml:space="preserve">jde </w:t>
      </w:r>
      <w:r w:rsidRPr="004A1414">
        <w:rPr>
          <w:sz w:val="22"/>
          <w:szCs w:val="22"/>
          <w:lang w:val="cs-CZ"/>
        </w:rPr>
        <w:t>k odkupu</w:t>
      </w:r>
      <w:r w:rsidRPr="007D3727">
        <w:rPr>
          <w:sz w:val="22"/>
          <w:szCs w:val="22"/>
          <w:lang w:val="cs-CZ"/>
        </w:rPr>
        <w:t xml:space="preserve"> Participace třetí osobou specializovanou na nákup a vymáhání pohledáve</w:t>
      </w:r>
      <w:r>
        <w:rPr>
          <w:sz w:val="22"/>
          <w:szCs w:val="22"/>
          <w:lang w:val="cs-CZ"/>
        </w:rPr>
        <w:t>k.</w:t>
      </w:r>
    </w:p>
    <w:p w14:paraId="4B53D4BB" w14:textId="29B4AD5F" w:rsidR="00ED02D3" w:rsidRDefault="00ED02D3" w:rsidP="001E6BA7">
      <w:pPr>
        <w:pStyle w:val="Nadpis2"/>
        <w:spacing w:before="120" w:after="120"/>
        <w:rPr>
          <w:sz w:val="22"/>
          <w:szCs w:val="18"/>
          <w:lang w:val="cs-CZ"/>
        </w:rPr>
      </w:pPr>
      <w:bookmarkStart w:id="16" w:name="_Ref216259138"/>
      <w:proofErr w:type="spellStart"/>
      <w:r w:rsidRPr="00ED02D3">
        <w:rPr>
          <w:sz w:val="22"/>
          <w:szCs w:val="18"/>
          <w:lang w:val="cs-CZ"/>
        </w:rPr>
        <w:t>Bankee</w:t>
      </w:r>
      <w:proofErr w:type="spellEnd"/>
      <w:r w:rsidRPr="00ED02D3">
        <w:rPr>
          <w:sz w:val="22"/>
          <w:szCs w:val="18"/>
          <w:lang w:val="cs-CZ"/>
        </w:rPr>
        <w:t xml:space="preserve"> je oprávněna ukončit vymáhání Splatných pohledávek, pokud je dle jejího odborného uvážení úspěšné vymožení těchto </w:t>
      </w:r>
      <w:r>
        <w:rPr>
          <w:sz w:val="22"/>
          <w:szCs w:val="18"/>
          <w:lang w:val="cs-CZ"/>
        </w:rPr>
        <w:t xml:space="preserve">Splatných </w:t>
      </w:r>
      <w:r w:rsidRPr="00ED02D3">
        <w:rPr>
          <w:sz w:val="22"/>
          <w:szCs w:val="18"/>
          <w:lang w:val="cs-CZ"/>
        </w:rPr>
        <w:t>pohledávek nepravděpodobné nebo pokud by očekávaný prospěch z dalšího vymáhání byl nižší nebo přibližně v rozsahu předpokládaných nákladů na jejich vymožení.</w:t>
      </w:r>
      <w:bookmarkEnd w:id="16"/>
    </w:p>
    <w:p w14:paraId="1AF72410" w14:textId="5E1BC9CF" w:rsidR="00AE5BDE" w:rsidRPr="00ED02D3" w:rsidRDefault="00ED02D3" w:rsidP="00ED02D3">
      <w:pPr>
        <w:pStyle w:val="Nadpis2"/>
        <w:spacing w:before="120" w:after="120"/>
        <w:rPr>
          <w:sz w:val="22"/>
          <w:szCs w:val="18"/>
          <w:lang w:val="cs-CZ"/>
        </w:rPr>
      </w:pPr>
      <w:bookmarkStart w:id="17" w:name="_Ref216259139"/>
      <w:r w:rsidRPr="00ED02D3">
        <w:rPr>
          <w:sz w:val="22"/>
          <w:szCs w:val="18"/>
          <w:lang w:val="cs-CZ"/>
        </w:rPr>
        <w:t xml:space="preserve">O ukončení vymáhání Splatných pohledávek </w:t>
      </w:r>
      <w:proofErr w:type="spellStart"/>
      <w:r w:rsidRPr="00ED02D3">
        <w:rPr>
          <w:sz w:val="22"/>
          <w:szCs w:val="18"/>
          <w:lang w:val="cs-CZ"/>
        </w:rPr>
        <w:t>Bankee</w:t>
      </w:r>
      <w:proofErr w:type="spellEnd"/>
      <w:r w:rsidRPr="00ED02D3">
        <w:rPr>
          <w:sz w:val="22"/>
          <w:szCs w:val="18"/>
          <w:lang w:val="cs-CZ"/>
        </w:rPr>
        <w:t xml:space="preserve"> informuje Investora zveřejněním informace na Platformě nebo e-mail</w:t>
      </w:r>
      <w:r w:rsidR="00621C5F">
        <w:rPr>
          <w:sz w:val="22"/>
          <w:szCs w:val="18"/>
          <w:lang w:val="cs-CZ"/>
        </w:rPr>
        <w:t>em</w:t>
      </w:r>
      <w:r w:rsidRPr="00ED02D3">
        <w:rPr>
          <w:sz w:val="22"/>
          <w:szCs w:val="18"/>
          <w:lang w:val="cs-CZ"/>
        </w:rPr>
        <w:t xml:space="preserve">. Po ukončení vymáhání Splatných pohledávek ze strany </w:t>
      </w:r>
      <w:proofErr w:type="spellStart"/>
      <w:r w:rsidRPr="00ED02D3">
        <w:rPr>
          <w:sz w:val="22"/>
          <w:szCs w:val="18"/>
          <w:lang w:val="cs-CZ"/>
        </w:rPr>
        <w:t>Bankee</w:t>
      </w:r>
      <w:proofErr w:type="spellEnd"/>
      <w:r w:rsidRPr="00ED02D3">
        <w:rPr>
          <w:sz w:val="22"/>
          <w:szCs w:val="18"/>
          <w:lang w:val="cs-CZ"/>
        </w:rPr>
        <w:t xml:space="preserve"> je Investor oprávněn tyto </w:t>
      </w:r>
      <w:r>
        <w:rPr>
          <w:sz w:val="22"/>
          <w:szCs w:val="18"/>
          <w:lang w:val="cs-CZ"/>
        </w:rPr>
        <w:t xml:space="preserve">Splatné </w:t>
      </w:r>
      <w:r w:rsidRPr="00ED02D3">
        <w:rPr>
          <w:sz w:val="22"/>
          <w:szCs w:val="18"/>
          <w:lang w:val="cs-CZ"/>
        </w:rPr>
        <w:t xml:space="preserve">pohledávky vymáhat samostatně a </w:t>
      </w:r>
      <w:proofErr w:type="spellStart"/>
      <w:r w:rsidRPr="00ED02D3">
        <w:rPr>
          <w:sz w:val="22"/>
          <w:szCs w:val="18"/>
          <w:lang w:val="cs-CZ"/>
        </w:rPr>
        <w:t>Bankee</w:t>
      </w:r>
      <w:proofErr w:type="spellEnd"/>
      <w:r w:rsidRPr="00ED02D3">
        <w:rPr>
          <w:sz w:val="22"/>
          <w:szCs w:val="18"/>
          <w:lang w:val="cs-CZ"/>
        </w:rPr>
        <w:t xml:space="preserve"> mu k tomu poskytne veškerou součinnost, kterou lze od </w:t>
      </w:r>
      <w:proofErr w:type="spellStart"/>
      <w:r w:rsidRPr="00ED02D3">
        <w:rPr>
          <w:sz w:val="22"/>
          <w:szCs w:val="18"/>
          <w:lang w:val="cs-CZ"/>
        </w:rPr>
        <w:t>Bankee</w:t>
      </w:r>
      <w:proofErr w:type="spellEnd"/>
      <w:r w:rsidRPr="00ED02D3">
        <w:rPr>
          <w:sz w:val="22"/>
          <w:szCs w:val="18"/>
          <w:lang w:val="cs-CZ"/>
        </w:rPr>
        <w:t xml:space="preserve"> rozumně požadovat, zejména doručením Úvěrovanému oznámení o postoupení pohledávky z příslušného Úvěru. V případě ukončení vymáhání Splatných pohledávek </w:t>
      </w:r>
      <w:proofErr w:type="spellStart"/>
      <w:r w:rsidRPr="00ED02D3">
        <w:rPr>
          <w:sz w:val="22"/>
          <w:szCs w:val="18"/>
          <w:lang w:val="cs-CZ"/>
        </w:rPr>
        <w:t>Bankee</w:t>
      </w:r>
      <w:proofErr w:type="spellEnd"/>
      <w:r w:rsidRPr="00ED02D3">
        <w:rPr>
          <w:sz w:val="22"/>
          <w:szCs w:val="18"/>
          <w:lang w:val="cs-CZ"/>
        </w:rPr>
        <w:t xml:space="preserve"> dále na písemnou nebo e-mailovou žádost Investora předá </w:t>
      </w:r>
      <w:r w:rsidR="00D26D47">
        <w:rPr>
          <w:sz w:val="22"/>
          <w:szCs w:val="18"/>
          <w:lang w:val="cs-CZ"/>
        </w:rPr>
        <w:t xml:space="preserve">Investorovi </w:t>
      </w:r>
      <w:r w:rsidRPr="00ED02D3">
        <w:rPr>
          <w:sz w:val="22"/>
          <w:szCs w:val="18"/>
          <w:lang w:val="cs-CZ"/>
        </w:rPr>
        <w:t>veškeré dokumenty související s Participací a vymáháním Splatných pohledávek.</w:t>
      </w:r>
      <w:bookmarkEnd w:id="17"/>
    </w:p>
    <w:p w14:paraId="65C6FAE8" w14:textId="7C82B0E2" w:rsidR="00AF40AB" w:rsidRDefault="00AF40AB" w:rsidP="00C4210F">
      <w:pPr>
        <w:pStyle w:val="Nadpis1"/>
        <w:rPr>
          <w:sz w:val="22"/>
          <w:szCs w:val="22"/>
          <w:lang w:val="cs-CZ"/>
        </w:rPr>
      </w:pPr>
      <w:bookmarkStart w:id="18" w:name="_Ref213421205"/>
      <w:bookmarkEnd w:id="7"/>
      <w:r>
        <w:rPr>
          <w:sz w:val="22"/>
          <w:szCs w:val="22"/>
          <w:lang w:val="cs-CZ"/>
        </w:rPr>
        <w:t>Realizace zatížení</w:t>
      </w:r>
      <w:bookmarkEnd w:id="18"/>
    </w:p>
    <w:p w14:paraId="64BA6C45" w14:textId="6C4446D4" w:rsidR="00B509E7" w:rsidRPr="00B509E7" w:rsidRDefault="00B509E7" w:rsidP="00E615B3">
      <w:pPr>
        <w:pStyle w:val="Nadpis2"/>
        <w:spacing w:before="120" w:after="120"/>
        <w:rPr>
          <w:sz w:val="22"/>
          <w:szCs w:val="18"/>
          <w:lang w:val="cs-CZ"/>
        </w:rPr>
      </w:pPr>
      <w:r w:rsidRPr="00E615B3">
        <w:rPr>
          <w:sz w:val="22"/>
          <w:szCs w:val="18"/>
          <w:lang w:val="cs-CZ"/>
        </w:rPr>
        <w:t xml:space="preserve">Ustanovení týkající se realizace Zatížení uvedená v této části </w:t>
      </w:r>
      <w:r w:rsidRPr="00E615B3">
        <w:rPr>
          <w:sz w:val="22"/>
          <w:szCs w:val="18"/>
          <w:lang w:val="cs-CZ"/>
        </w:rPr>
        <w:fldChar w:fldCharType="begin"/>
      </w:r>
      <w:r w:rsidRPr="00E615B3">
        <w:rPr>
          <w:sz w:val="22"/>
          <w:szCs w:val="18"/>
          <w:lang w:val="cs-CZ"/>
        </w:rPr>
        <w:instrText xml:space="preserve"> REF _Ref213421205 \r \h </w:instrText>
      </w:r>
      <w:r>
        <w:rPr>
          <w:sz w:val="22"/>
          <w:szCs w:val="18"/>
          <w:lang w:val="cs-CZ"/>
        </w:rPr>
        <w:instrText xml:space="preserve"> \* MERGEFORMAT </w:instrText>
      </w:r>
      <w:r w:rsidRPr="00E615B3">
        <w:rPr>
          <w:sz w:val="22"/>
          <w:szCs w:val="18"/>
          <w:lang w:val="cs-CZ"/>
        </w:rPr>
      </w:r>
      <w:r w:rsidRPr="00E615B3">
        <w:rPr>
          <w:sz w:val="22"/>
          <w:szCs w:val="18"/>
          <w:lang w:val="cs-CZ"/>
        </w:rPr>
        <w:fldChar w:fldCharType="separate"/>
      </w:r>
      <w:r w:rsidRPr="00E615B3">
        <w:rPr>
          <w:sz w:val="22"/>
          <w:szCs w:val="18"/>
          <w:lang w:val="cs-CZ"/>
        </w:rPr>
        <w:t>6</w:t>
      </w:r>
      <w:r w:rsidRPr="00E615B3">
        <w:rPr>
          <w:sz w:val="22"/>
          <w:szCs w:val="18"/>
          <w:lang w:val="cs-CZ"/>
        </w:rPr>
        <w:fldChar w:fldCharType="end"/>
      </w:r>
      <w:r w:rsidRPr="00E615B3">
        <w:rPr>
          <w:sz w:val="22"/>
          <w:szCs w:val="18"/>
          <w:lang w:val="cs-CZ"/>
        </w:rPr>
        <w:t xml:space="preserve"> této Rámcové smlouvy </w:t>
      </w:r>
      <w:r w:rsidRPr="00B509E7">
        <w:rPr>
          <w:sz w:val="22"/>
          <w:szCs w:val="18"/>
          <w:lang w:val="cs-CZ"/>
        </w:rPr>
        <w:t xml:space="preserve">se uplatní pouze v případě, že ani přes maximální úsilí vynaložené </w:t>
      </w:r>
      <w:proofErr w:type="spellStart"/>
      <w:r w:rsidRPr="00B509E7">
        <w:rPr>
          <w:sz w:val="22"/>
          <w:szCs w:val="18"/>
          <w:lang w:val="cs-CZ"/>
        </w:rPr>
        <w:t>Bankee</w:t>
      </w:r>
      <w:proofErr w:type="spellEnd"/>
      <w:r w:rsidRPr="00B509E7">
        <w:rPr>
          <w:sz w:val="22"/>
          <w:szCs w:val="18"/>
          <w:lang w:val="cs-CZ"/>
        </w:rPr>
        <w:t xml:space="preserve"> nedojde k odkupu Participace třetí osobou specializovanou na nákup a vymáhání pohledávek.</w:t>
      </w:r>
    </w:p>
    <w:p w14:paraId="25933A88" w14:textId="3F2CC5D8" w:rsidR="00D26D47" w:rsidRPr="00D26D47" w:rsidRDefault="00D26D47" w:rsidP="00D26D47">
      <w:pPr>
        <w:pStyle w:val="Nadpis2"/>
        <w:numPr>
          <w:ilvl w:val="0"/>
          <w:numId w:val="0"/>
        </w:numPr>
        <w:spacing w:before="240"/>
        <w:ind w:left="709"/>
        <w:rPr>
          <w:sz w:val="22"/>
          <w:szCs w:val="22"/>
          <w:u w:val="single"/>
          <w:lang w:val="cs-CZ"/>
        </w:rPr>
      </w:pPr>
      <w:r w:rsidRPr="00D26D47">
        <w:rPr>
          <w:sz w:val="22"/>
          <w:szCs w:val="22"/>
          <w:u w:val="single"/>
          <w:lang w:val="cs-CZ"/>
        </w:rPr>
        <w:t xml:space="preserve">Činnost Agenta pro </w:t>
      </w:r>
      <w:r w:rsidR="00F26293">
        <w:rPr>
          <w:sz w:val="22"/>
          <w:szCs w:val="22"/>
          <w:u w:val="single"/>
          <w:lang w:val="cs-CZ"/>
        </w:rPr>
        <w:t>Z</w:t>
      </w:r>
      <w:r w:rsidRPr="00D26D47">
        <w:rPr>
          <w:sz w:val="22"/>
          <w:szCs w:val="22"/>
          <w:u w:val="single"/>
          <w:lang w:val="cs-CZ"/>
        </w:rPr>
        <w:t>ajištění</w:t>
      </w:r>
    </w:p>
    <w:p w14:paraId="1013D27E" w14:textId="3CF5FE70" w:rsidR="00797315" w:rsidRPr="006A50DE" w:rsidRDefault="00797315" w:rsidP="00797315">
      <w:pPr>
        <w:pStyle w:val="Nadpis2"/>
        <w:spacing w:before="120" w:after="120"/>
        <w:rPr>
          <w:sz w:val="22"/>
          <w:szCs w:val="18"/>
          <w:lang w:val="cs-CZ"/>
        </w:rPr>
      </w:pPr>
      <w:r w:rsidRPr="008A552F">
        <w:rPr>
          <w:sz w:val="22"/>
          <w:szCs w:val="18"/>
          <w:lang w:val="cs-CZ"/>
        </w:rPr>
        <w:t xml:space="preserve">Správa Participací vykonávaná </w:t>
      </w:r>
      <w:proofErr w:type="spellStart"/>
      <w:r w:rsidRPr="008A552F">
        <w:rPr>
          <w:sz w:val="22"/>
          <w:szCs w:val="18"/>
          <w:lang w:val="cs-CZ"/>
        </w:rPr>
        <w:t>Bankee</w:t>
      </w:r>
      <w:proofErr w:type="spellEnd"/>
      <w:r w:rsidRPr="008A552F">
        <w:rPr>
          <w:sz w:val="22"/>
          <w:szCs w:val="18"/>
          <w:lang w:val="cs-CZ"/>
        </w:rPr>
        <w:t xml:space="preserve"> zahrnuje také </w:t>
      </w:r>
      <w:r>
        <w:rPr>
          <w:sz w:val="22"/>
          <w:szCs w:val="18"/>
          <w:lang w:val="cs-CZ"/>
        </w:rPr>
        <w:t>realizaci Zajištění.</w:t>
      </w:r>
      <w:r w:rsidR="007C088F">
        <w:rPr>
          <w:sz w:val="22"/>
          <w:szCs w:val="18"/>
          <w:lang w:val="cs-CZ"/>
        </w:rPr>
        <w:t xml:space="preserve"> V této souvislosti se </w:t>
      </w:r>
      <w:proofErr w:type="spellStart"/>
      <w:r w:rsidR="007C088F">
        <w:rPr>
          <w:sz w:val="22"/>
          <w:szCs w:val="18"/>
          <w:lang w:val="cs-CZ"/>
        </w:rPr>
        <w:t>Bankee</w:t>
      </w:r>
      <w:proofErr w:type="spellEnd"/>
      <w:r w:rsidR="007C088F">
        <w:rPr>
          <w:sz w:val="22"/>
          <w:szCs w:val="18"/>
          <w:lang w:val="cs-CZ"/>
        </w:rPr>
        <w:t xml:space="preserve"> ustanovuje Agentem pro </w:t>
      </w:r>
      <w:r w:rsidR="00F26293">
        <w:rPr>
          <w:sz w:val="22"/>
          <w:szCs w:val="18"/>
          <w:lang w:val="cs-CZ"/>
        </w:rPr>
        <w:t>Z</w:t>
      </w:r>
      <w:r w:rsidR="007C088F">
        <w:rPr>
          <w:sz w:val="22"/>
          <w:szCs w:val="18"/>
          <w:lang w:val="cs-CZ"/>
        </w:rPr>
        <w:t>ajištění.</w:t>
      </w:r>
      <w:r w:rsidR="00D26D47">
        <w:rPr>
          <w:sz w:val="22"/>
          <w:szCs w:val="18"/>
          <w:lang w:val="cs-CZ"/>
        </w:rPr>
        <w:t xml:space="preserve"> </w:t>
      </w:r>
      <w:proofErr w:type="spellStart"/>
      <w:r w:rsidR="00D26D47">
        <w:rPr>
          <w:sz w:val="22"/>
          <w:szCs w:val="18"/>
          <w:lang w:val="cs-CZ"/>
        </w:rPr>
        <w:t>Bankee</w:t>
      </w:r>
      <w:proofErr w:type="spellEnd"/>
      <w:r w:rsidR="00D26D47">
        <w:rPr>
          <w:sz w:val="22"/>
          <w:szCs w:val="18"/>
          <w:lang w:val="cs-CZ"/>
        </w:rPr>
        <w:t xml:space="preserve"> vykonává činnost Agenta pro </w:t>
      </w:r>
      <w:r w:rsidR="00F26293">
        <w:rPr>
          <w:sz w:val="22"/>
          <w:szCs w:val="18"/>
          <w:lang w:val="cs-CZ"/>
        </w:rPr>
        <w:t>Z</w:t>
      </w:r>
      <w:r w:rsidR="00D26D47">
        <w:rPr>
          <w:sz w:val="22"/>
          <w:szCs w:val="18"/>
          <w:lang w:val="cs-CZ"/>
        </w:rPr>
        <w:t xml:space="preserve">ajištění ve vztahu ke všem </w:t>
      </w:r>
      <w:r w:rsidR="00D26D47" w:rsidRPr="006A50DE">
        <w:rPr>
          <w:sz w:val="22"/>
          <w:szCs w:val="18"/>
          <w:lang w:val="cs-CZ"/>
        </w:rPr>
        <w:t>Participacím, a to od okamžiku, kdy dojde k postoupení pohledávky z příslušného Úvěru na Investory.</w:t>
      </w:r>
    </w:p>
    <w:p w14:paraId="4745630E" w14:textId="56D7B1FF" w:rsidR="00A37E0F" w:rsidRPr="006A50DE" w:rsidRDefault="006A50DE" w:rsidP="00A37E0F">
      <w:pPr>
        <w:pStyle w:val="Nadpis2"/>
        <w:spacing w:before="120" w:after="120"/>
        <w:rPr>
          <w:sz w:val="22"/>
          <w:szCs w:val="18"/>
          <w:lang w:val="cs-CZ"/>
        </w:rPr>
      </w:pPr>
      <w:r w:rsidRPr="006A50DE">
        <w:rPr>
          <w:sz w:val="22"/>
          <w:szCs w:val="18"/>
          <w:lang w:val="cs-CZ"/>
        </w:rPr>
        <w:t xml:space="preserve">Investor bere na vědomí a souhlasí s rozsahem činnosti Agenta pro </w:t>
      </w:r>
      <w:r w:rsidR="00F26293">
        <w:rPr>
          <w:sz w:val="22"/>
          <w:szCs w:val="18"/>
          <w:lang w:val="cs-CZ"/>
        </w:rPr>
        <w:t>Z</w:t>
      </w:r>
      <w:r w:rsidRPr="006A50DE">
        <w:rPr>
          <w:sz w:val="22"/>
          <w:szCs w:val="18"/>
          <w:lang w:val="cs-CZ"/>
        </w:rPr>
        <w:t xml:space="preserve">ajištění a jeho právy a povinnosti </w:t>
      </w:r>
      <w:r w:rsidRPr="006A50DE">
        <w:rPr>
          <w:sz w:val="22"/>
          <w:szCs w:val="18"/>
          <w:lang w:val="cs-CZ"/>
        </w:rPr>
        <w:lastRenderedPageBreak/>
        <w:t>uvedenými v</w:t>
      </w:r>
      <w:r w:rsidR="004203D0">
        <w:rPr>
          <w:sz w:val="22"/>
          <w:szCs w:val="18"/>
          <w:lang w:val="cs-CZ"/>
        </w:rPr>
        <w:t xml:space="preserve"> článku 7 Obchodních podmínek </w:t>
      </w:r>
      <w:r w:rsidR="004203D0" w:rsidRPr="004203D0">
        <w:rPr>
          <w:sz w:val="22"/>
          <w:szCs w:val="18"/>
          <w:lang w:val="cs-CZ"/>
        </w:rPr>
        <w:t>a zároveň s povinnostmi Investora s tím souvisejícími.</w:t>
      </w:r>
    </w:p>
    <w:p w14:paraId="37D50AF6" w14:textId="1148D280" w:rsidR="006A50DE" w:rsidRPr="008257F3" w:rsidRDefault="006A50DE" w:rsidP="006A50DE">
      <w:pPr>
        <w:pStyle w:val="Nadpis2"/>
        <w:spacing w:before="120" w:after="120"/>
        <w:rPr>
          <w:sz w:val="22"/>
          <w:szCs w:val="18"/>
          <w:lang w:val="cs-CZ"/>
        </w:rPr>
      </w:pPr>
      <w:r w:rsidRPr="006A50DE">
        <w:rPr>
          <w:sz w:val="22"/>
          <w:szCs w:val="18"/>
          <w:lang w:val="cs-CZ"/>
        </w:rPr>
        <w:t xml:space="preserve">Investor bere na vědomí a </w:t>
      </w:r>
      <w:r w:rsidR="008257F3" w:rsidRPr="006A50DE">
        <w:rPr>
          <w:sz w:val="22"/>
          <w:szCs w:val="18"/>
          <w:lang w:val="cs-CZ"/>
        </w:rPr>
        <w:t>za podmínek uvedených v článku 7.5</w:t>
      </w:r>
      <w:r w:rsidR="008257F3">
        <w:rPr>
          <w:sz w:val="22"/>
          <w:szCs w:val="18"/>
          <w:lang w:val="cs-CZ"/>
        </w:rPr>
        <w:t xml:space="preserve"> </w:t>
      </w:r>
      <w:r w:rsidR="008257F3" w:rsidRPr="006A50DE">
        <w:rPr>
          <w:sz w:val="22"/>
          <w:szCs w:val="18"/>
          <w:lang w:val="cs-CZ"/>
        </w:rPr>
        <w:t xml:space="preserve">Obchodních podmínek </w:t>
      </w:r>
      <w:r w:rsidRPr="006A50DE">
        <w:rPr>
          <w:sz w:val="22"/>
          <w:szCs w:val="18"/>
          <w:lang w:val="cs-CZ"/>
        </w:rPr>
        <w:t xml:space="preserve">výslovně uděluje Agentovi pro </w:t>
      </w:r>
      <w:r w:rsidR="00F26293">
        <w:rPr>
          <w:sz w:val="22"/>
          <w:szCs w:val="18"/>
          <w:lang w:val="cs-CZ"/>
        </w:rPr>
        <w:t>Z</w:t>
      </w:r>
      <w:r w:rsidRPr="006A50DE">
        <w:rPr>
          <w:sz w:val="22"/>
          <w:szCs w:val="18"/>
          <w:lang w:val="cs-CZ"/>
        </w:rPr>
        <w:t>ajištění oprávnění provést výměnu nebo doplnění majetku tvořícího předmět Zajištění, ke změně Zajištění nebo k poskytnutí dodatečného Zajištění, a to i bez svolání schůze vlastníků.</w:t>
      </w:r>
    </w:p>
    <w:p w14:paraId="63E3D46F" w14:textId="5047C298" w:rsidR="00D26D47" w:rsidRDefault="00D26D47" w:rsidP="00D26D47">
      <w:pPr>
        <w:pStyle w:val="Nadpis2"/>
        <w:numPr>
          <w:ilvl w:val="0"/>
          <w:numId w:val="0"/>
        </w:numPr>
        <w:spacing w:before="240"/>
        <w:ind w:left="709"/>
        <w:rPr>
          <w:sz w:val="22"/>
          <w:szCs w:val="22"/>
          <w:u w:val="single"/>
          <w:lang w:val="cs-CZ"/>
        </w:rPr>
      </w:pPr>
      <w:r w:rsidRPr="00797315">
        <w:rPr>
          <w:sz w:val="22"/>
          <w:szCs w:val="22"/>
          <w:u w:val="single"/>
          <w:lang w:val="cs-CZ"/>
        </w:rPr>
        <w:t>Realizace Zajištění</w:t>
      </w:r>
    </w:p>
    <w:p w14:paraId="04F8B7C6" w14:textId="32B1DB06" w:rsidR="00CE0994" w:rsidRPr="008257F3" w:rsidRDefault="008257F3" w:rsidP="008257F3">
      <w:pPr>
        <w:pStyle w:val="Nadpis2"/>
        <w:spacing w:before="120" w:after="120"/>
        <w:rPr>
          <w:sz w:val="22"/>
          <w:szCs w:val="18"/>
          <w:lang w:val="cs-CZ"/>
        </w:rPr>
      </w:pPr>
      <w:r w:rsidRPr="008257F3">
        <w:rPr>
          <w:sz w:val="22"/>
          <w:szCs w:val="18"/>
          <w:lang w:val="cs-CZ"/>
        </w:rPr>
        <w:t xml:space="preserve">Agent pro </w:t>
      </w:r>
      <w:r w:rsidR="00F26293">
        <w:rPr>
          <w:sz w:val="22"/>
          <w:szCs w:val="18"/>
          <w:lang w:val="cs-CZ"/>
        </w:rPr>
        <w:t>Z</w:t>
      </w:r>
      <w:r w:rsidRPr="008257F3">
        <w:rPr>
          <w:sz w:val="22"/>
          <w:szCs w:val="18"/>
          <w:lang w:val="cs-CZ"/>
        </w:rPr>
        <w:t xml:space="preserve">ajištění přistoupí k realizaci zajištění, pokud se Úvěrovaný dostane do prodlení s úhradou Splatných pohledávek a </w:t>
      </w:r>
      <w:r w:rsidRPr="00B509E7">
        <w:rPr>
          <w:sz w:val="22"/>
          <w:szCs w:val="18"/>
          <w:lang w:val="cs-CZ"/>
        </w:rPr>
        <w:t xml:space="preserve">do </w:t>
      </w:r>
      <w:r w:rsidRPr="00E615B3">
        <w:rPr>
          <w:sz w:val="22"/>
          <w:szCs w:val="18"/>
          <w:lang w:val="cs-CZ"/>
        </w:rPr>
        <w:t>čtyř měsíců</w:t>
      </w:r>
      <w:r w:rsidRPr="008257F3">
        <w:rPr>
          <w:sz w:val="22"/>
          <w:szCs w:val="18"/>
          <w:lang w:val="cs-CZ"/>
        </w:rPr>
        <w:t xml:space="preserve"> od zesplatnění úvěru dle </w:t>
      </w:r>
      <w:r w:rsidRPr="0008331A">
        <w:rPr>
          <w:sz w:val="22"/>
          <w:szCs w:val="18"/>
          <w:lang w:val="cs-CZ"/>
        </w:rPr>
        <w:t xml:space="preserve">článku </w:t>
      </w:r>
      <w:r w:rsidRPr="0008331A">
        <w:rPr>
          <w:sz w:val="22"/>
          <w:szCs w:val="18"/>
          <w:lang w:val="cs-CZ"/>
        </w:rPr>
        <w:fldChar w:fldCharType="begin"/>
      </w:r>
      <w:r w:rsidRPr="0008331A">
        <w:rPr>
          <w:sz w:val="22"/>
          <w:szCs w:val="18"/>
          <w:lang w:val="cs-CZ"/>
        </w:rPr>
        <w:instrText xml:space="preserve"> REF _Ref213658326 \r \h  \* MERGEFORMAT </w:instrText>
      </w:r>
      <w:r w:rsidRPr="0008331A">
        <w:rPr>
          <w:sz w:val="22"/>
          <w:szCs w:val="18"/>
          <w:lang w:val="cs-CZ"/>
        </w:rPr>
      </w:r>
      <w:r w:rsidRPr="0008331A">
        <w:rPr>
          <w:sz w:val="22"/>
          <w:szCs w:val="18"/>
          <w:lang w:val="cs-CZ"/>
        </w:rPr>
        <w:fldChar w:fldCharType="separate"/>
      </w:r>
      <w:r w:rsidRPr="0008331A">
        <w:rPr>
          <w:sz w:val="22"/>
          <w:szCs w:val="18"/>
          <w:lang w:val="cs-CZ"/>
        </w:rPr>
        <w:t>4.8 písm. (e)</w:t>
      </w:r>
      <w:r w:rsidRPr="0008331A">
        <w:rPr>
          <w:sz w:val="22"/>
          <w:szCs w:val="18"/>
          <w:lang w:val="cs-CZ"/>
        </w:rPr>
        <w:fldChar w:fldCharType="end"/>
      </w:r>
      <w:r w:rsidRPr="0008331A">
        <w:rPr>
          <w:sz w:val="22"/>
          <w:szCs w:val="18"/>
          <w:lang w:val="cs-CZ"/>
        </w:rPr>
        <w:t xml:space="preserve"> této</w:t>
      </w:r>
      <w:r w:rsidRPr="008257F3">
        <w:rPr>
          <w:sz w:val="22"/>
          <w:szCs w:val="18"/>
          <w:lang w:val="cs-CZ"/>
        </w:rPr>
        <w:t xml:space="preserve"> Rámcové smlouvy</w:t>
      </w:r>
      <w:r>
        <w:rPr>
          <w:sz w:val="22"/>
          <w:szCs w:val="18"/>
          <w:lang w:val="cs-CZ"/>
        </w:rPr>
        <w:t xml:space="preserve"> Úvěrovaný neuzavře dohodu o </w:t>
      </w:r>
      <w:r w:rsidR="0008331A">
        <w:rPr>
          <w:sz w:val="22"/>
          <w:szCs w:val="18"/>
          <w:lang w:val="cs-CZ"/>
        </w:rPr>
        <w:t>způsobu řešení prodlení.</w:t>
      </w:r>
    </w:p>
    <w:p w14:paraId="3FA1BF95" w14:textId="3B4BC20A" w:rsidR="00797315" w:rsidRDefault="0008331A" w:rsidP="0008331A">
      <w:pPr>
        <w:pStyle w:val="Nadpis2"/>
        <w:spacing w:before="120" w:after="120"/>
        <w:rPr>
          <w:sz w:val="22"/>
          <w:szCs w:val="22"/>
          <w:lang w:val="cs-CZ"/>
        </w:rPr>
      </w:pPr>
      <w:r>
        <w:rPr>
          <w:sz w:val="22"/>
          <w:szCs w:val="22"/>
          <w:lang w:val="cs-CZ"/>
        </w:rPr>
        <w:t xml:space="preserve">O realizaci Zajištění, včetně způsobu realizace Zajištění, postupu při realizaci Zajištění a všech souvisejících kroků, rozhoduje Agent pro </w:t>
      </w:r>
      <w:r w:rsidR="00F26293">
        <w:rPr>
          <w:sz w:val="22"/>
          <w:szCs w:val="22"/>
          <w:lang w:val="cs-CZ"/>
        </w:rPr>
        <w:t>Z</w:t>
      </w:r>
      <w:r>
        <w:rPr>
          <w:sz w:val="22"/>
          <w:szCs w:val="22"/>
          <w:lang w:val="cs-CZ"/>
        </w:rPr>
        <w:t xml:space="preserve">ajištění. </w:t>
      </w:r>
      <w:r w:rsidR="008C6C7B">
        <w:rPr>
          <w:sz w:val="22"/>
          <w:szCs w:val="22"/>
          <w:lang w:val="cs-CZ"/>
        </w:rPr>
        <w:t>Při realizaci Zajištění bude Agent pro Zajištění postupovat v souladu se standardem péče uveden</w:t>
      </w:r>
      <w:r w:rsidR="00B259F4">
        <w:rPr>
          <w:sz w:val="22"/>
          <w:szCs w:val="22"/>
          <w:lang w:val="cs-CZ"/>
        </w:rPr>
        <w:t>ém</w:t>
      </w:r>
      <w:r w:rsidR="008C6C7B">
        <w:rPr>
          <w:sz w:val="22"/>
          <w:szCs w:val="22"/>
          <w:lang w:val="cs-CZ"/>
        </w:rPr>
        <w:t xml:space="preserve"> v</w:t>
      </w:r>
      <w:r w:rsidR="00B509E7">
        <w:rPr>
          <w:sz w:val="22"/>
          <w:szCs w:val="22"/>
          <w:lang w:val="cs-CZ"/>
        </w:rPr>
        <w:t> </w:t>
      </w:r>
      <w:r w:rsidR="008C6C7B">
        <w:rPr>
          <w:sz w:val="22"/>
          <w:szCs w:val="22"/>
          <w:lang w:val="cs-CZ"/>
        </w:rPr>
        <w:t>č</w:t>
      </w:r>
      <w:r w:rsidR="007D3727">
        <w:rPr>
          <w:sz w:val="22"/>
          <w:szCs w:val="22"/>
          <w:lang w:val="cs-CZ"/>
        </w:rPr>
        <w:t>á</w:t>
      </w:r>
      <w:r w:rsidR="00B509E7">
        <w:rPr>
          <w:sz w:val="22"/>
          <w:szCs w:val="22"/>
          <w:lang w:val="cs-CZ"/>
        </w:rPr>
        <w:t xml:space="preserve">sti </w:t>
      </w:r>
      <w:r w:rsidR="008C6C7B">
        <w:rPr>
          <w:sz w:val="22"/>
          <w:szCs w:val="22"/>
          <w:lang w:val="cs-CZ"/>
        </w:rPr>
        <w:t>5. Obchodních podmínek.</w:t>
      </w:r>
    </w:p>
    <w:p w14:paraId="1A363C0F" w14:textId="645FBBA5" w:rsidR="002E19D9" w:rsidRPr="002E19D9" w:rsidRDefault="002E19D9" w:rsidP="002E19D9">
      <w:pPr>
        <w:pStyle w:val="Nadpis2"/>
        <w:spacing w:before="120" w:after="120"/>
        <w:rPr>
          <w:sz w:val="22"/>
          <w:szCs w:val="22"/>
          <w:lang w:val="cs-CZ"/>
        </w:rPr>
      </w:pPr>
      <w:r w:rsidRPr="002E19D9">
        <w:rPr>
          <w:sz w:val="22"/>
          <w:szCs w:val="22"/>
          <w:lang w:val="cs-CZ"/>
        </w:rPr>
        <w:t xml:space="preserve">Investor dále bere na vědomí a souhlasí s tím, že </w:t>
      </w:r>
      <w:proofErr w:type="spellStart"/>
      <w:r w:rsidRPr="002E19D9">
        <w:rPr>
          <w:sz w:val="22"/>
          <w:szCs w:val="22"/>
          <w:lang w:val="cs-CZ"/>
        </w:rPr>
        <w:t>Bankee</w:t>
      </w:r>
      <w:proofErr w:type="spellEnd"/>
      <w:r w:rsidRPr="002E19D9">
        <w:rPr>
          <w:sz w:val="22"/>
          <w:szCs w:val="22"/>
          <w:lang w:val="cs-CZ"/>
        </w:rPr>
        <w:t xml:space="preserve"> veškerá přijatá plnění získaná realizací Zajištění poníží o náklady Agenta pro </w:t>
      </w:r>
      <w:r w:rsidR="00F26293">
        <w:rPr>
          <w:sz w:val="22"/>
          <w:szCs w:val="22"/>
          <w:lang w:val="cs-CZ"/>
        </w:rPr>
        <w:t>Z</w:t>
      </w:r>
      <w:r w:rsidRPr="002E19D9">
        <w:rPr>
          <w:sz w:val="22"/>
          <w:szCs w:val="22"/>
          <w:lang w:val="cs-CZ"/>
        </w:rPr>
        <w:t>ajištění související s realizací Zajištění</w:t>
      </w:r>
      <w:r>
        <w:rPr>
          <w:sz w:val="22"/>
          <w:szCs w:val="22"/>
          <w:lang w:val="cs-CZ"/>
        </w:rPr>
        <w:t xml:space="preserve"> dle čl</w:t>
      </w:r>
      <w:r w:rsidR="007D3727">
        <w:rPr>
          <w:sz w:val="22"/>
          <w:szCs w:val="22"/>
          <w:lang w:val="cs-CZ"/>
        </w:rPr>
        <w:t>ánku</w:t>
      </w:r>
      <w:r>
        <w:rPr>
          <w:sz w:val="22"/>
          <w:szCs w:val="22"/>
          <w:lang w:val="cs-CZ"/>
        </w:rPr>
        <w:t xml:space="preserve"> 7.8 Obchodních podmínek a dále </w:t>
      </w:r>
      <w:r w:rsidRPr="002E19D9">
        <w:rPr>
          <w:sz w:val="22"/>
          <w:szCs w:val="18"/>
          <w:lang w:val="cs-CZ"/>
        </w:rPr>
        <w:t xml:space="preserve">o </w:t>
      </w:r>
      <w:r w:rsidRPr="002E19D9">
        <w:rPr>
          <w:sz w:val="22"/>
          <w:szCs w:val="22"/>
          <w:lang w:val="cs-CZ"/>
        </w:rPr>
        <w:t>vynaložené</w:t>
      </w:r>
      <w:r w:rsidRPr="002E19D9">
        <w:rPr>
          <w:sz w:val="22"/>
          <w:szCs w:val="18"/>
          <w:lang w:val="cs-CZ"/>
        </w:rPr>
        <w:t xml:space="preserve"> náklady dle článku 6</w:t>
      </w:r>
      <w:r>
        <w:rPr>
          <w:sz w:val="22"/>
          <w:szCs w:val="18"/>
          <w:lang w:val="cs-CZ"/>
        </w:rPr>
        <w:t>.3</w:t>
      </w:r>
      <w:r w:rsidRPr="002E19D9">
        <w:rPr>
          <w:sz w:val="22"/>
          <w:szCs w:val="18"/>
          <w:lang w:val="cs-CZ"/>
        </w:rPr>
        <w:t xml:space="preserve"> Obchodních podmínek. O výši těchto vynaložených nákladů </w:t>
      </w:r>
      <w:proofErr w:type="spellStart"/>
      <w:r w:rsidRPr="002E19D9">
        <w:rPr>
          <w:sz w:val="22"/>
          <w:szCs w:val="18"/>
          <w:lang w:val="cs-CZ"/>
        </w:rPr>
        <w:t>Bankee</w:t>
      </w:r>
      <w:proofErr w:type="spellEnd"/>
      <w:r w:rsidRPr="002E19D9">
        <w:rPr>
          <w:sz w:val="22"/>
          <w:szCs w:val="18"/>
          <w:lang w:val="cs-CZ"/>
        </w:rPr>
        <w:t xml:space="preserve"> informuje Investora zveřejněním informace na Platformě nebo prostřednictvím e-mailu</w:t>
      </w:r>
      <w:r w:rsidRPr="002E19D9">
        <w:rPr>
          <w:sz w:val="22"/>
          <w:szCs w:val="22"/>
          <w:lang w:val="cs-CZ"/>
        </w:rPr>
        <w:t>.</w:t>
      </w:r>
    </w:p>
    <w:p w14:paraId="67409A9F" w14:textId="30025D6D" w:rsidR="00A12737" w:rsidRDefault="00C4210F" w:rsidP="00C4210F">
      <w:pPr>
        <w:pStyle w:val="Nadpis1"/>
        <w:rPr>
          <w:sz w:val="22"/>
          <w:szCs w:val="22"/>
          <w:lang w:val="cs-CZ"/>
        </w:rPr>
      </w:pPr>
      <w:r>
        <w:rPr>
          <w:sz w:val="22"/>
          <w:szCs w:val="22"/>
          <w:lang w:val="cs-CZ"/>
        </w:rPr>
        <w:t>Zpětný ODKUP PARTICIPACE</w:t>
      </w:r>
    </w:p>
    <w:p w14:paraId="17E7EB10" w14:textId="6B6B77D0" w:rsidR="00A12737" w:rsidRDefault="00D35983" w:rsidP="00153EBA">
      <w:pPr>
        <w:pStyle w:val="Nadpis2"/>
        <w:rPr>
          <w:sz w:val="22"/>
          <w:szCs w:val="22"/>
          <w:lang w:val="cs-CZ"/>
        </w:rPr>
      </w:pPr>
      <w:bookmarkStart w:id="19" w:name="_Ref213653627"/>
      <w:r w:rsidRPr="00D35983">
        <w:rPr>
          <w:sz w:val="22"/>
          <w:szCs w:val="22"/>
          <w:lang w:val="cs-CZ"/>
        </w:rPr>
        <w:t xml:space="preserve">Investor je oprávněn nabídnout svou Participaci ke zpětnému odkupu výhradně </w:t>
      </w:r>
      <w:proofErr w:type="spellStart"/>
      <w:r>
        <w:rPr>
          <w:sz w:val="22"/>
          <w:szCs w:val="22"/>
          <w:lang w:val="cs-CZ"/>
        </w:rPr>
        <w:t>Bankee</w:t>
      </w:r>
      <w:proofErr w:type="spellEnd"/>
      <w:r w:rsidRPr="00D35983">
        <w:rPr>
          <w:sz w:val="22"/>
          <w:szCs w:val="22"/>
          <w:lang w:val="cs-CZ"/>
        </w:rPr>
        <w:t xml:space="preserve">. </w:t>
      </w:r>
      <w:proofErr w:type="spellStart"/>
      <w:r>
        <w:rPr>
          <w:sz w:val="22"/>
          <w:szCs w:val="22"/>
          <w:lang w:val="cs-CZ"/>
        </w:rPr>
        <w:t>Bankee</w:t>
      </w:r>
      <w:proofErr w:type="spellEnd"/>
      <w:r>
        <w:rPr>
          <w:sz w:val="22"/>
          <w:szCs w:val="22"/>
          <w:lang w:val="cs-CZ"/>
        </w:rPr>
        <w:t xml:space="preserve"> </w:t>
      </w:r>
      <w:r w:rsidRPr="00D35983">
        <w:rPr>
          <w:sz w:val="22"/>
          <w:szCs w:val="22"/>
          <w:lang w:val="cs-CZ"/>
        </w:rPr>
        <w:t xml:space="preserve">je oprávněna nabídku </w:t>
      </w:r>
      <w:r>
        <w:rPr>
          <w:sz w:val="22"/>
          <w:szCs w:val="22"/>
          <w:lang w:val="cs-CZ"/>
        </w:rPr>
        <w:t xml:space="preserve">Investora </w:t>
      </w:r>
      <w:r w:rsidRPr="00D35983">
        <w:rPr>
          <w:sz w:val="22"/>
          <w:szCs w:val="22"/>
          <w:lang w:val="cs-CZ"/>
        </w:rPr>
        <w:t xml:space="preserve">přijmout, odmítnout, nebo určit třetí osobu, která zpětný odkup Participace provede namísto </w:t>
      </w:r>
      <w:proofErr w:type="spellStart"/>
      <w:r>
        <w:rPr>
          <w:sz w:val="22"/>
          <w:szCs w:val="22"/>
          <w:lang w:val="cs-CZ"/>
        </w:rPr>
        <w:t>Bankee</w:t>
      </w:r>
      <w:proofErr w:type="spellEnd"/>
      <w:r w:rsidRPr="00D35983">
        <w:rPr>
          <w:sz w:val="22"/>
          <w:szCs w:val="22"/>
          <w:lang w:val="cs-CZ"/>
        </w:rPr>
        <w:t>.</w:t>
      </w:r>
      <w:bookmarkEnd w:id="19"/>
    </w:p>
    <w:p w14:paraId="7F0BCA1F" w14:textId="47AE83C1" w:rsidR="00A12737" w:rsidRDefault="00D35983" w:rsidP="00153EBA">
      <w:pPr>
        <w:pStyle w:val="Nadpis2"/>
        <w:rPr>
          <w:sz w:val="22"/>
          <w:szCs w:val="22"/>
          <w:lang w:val="cs-CZ"/>
        </w:rPr>
      </w:pPr>
      <w:bookmarkStart w:id="20" w:name="_Ref216261127"/>
      <w:r>
        <w:rPr>
          <w:sz w:val="22"/>
          <w:szCs w:val="22"/>
          <w:lang w:val="cs-CZ"/>
        </w:rPr>
        <w:t xml:space="preserve">Bez </w:t>
      </w:r>
      <w:r w:rsidRPr="00733C0D">
        <w:rPr>
          <w:sz w:val="22"/>
          <w:szCs w:val="22"/>
          <w:lang w:val="cs-CZ"/>
        </w:rPr>
        <w:t xml:space="preserve">ohledu na nabídku Investora </w:t>
      </w:r>
      <w:r w:rsidR="00733C0D" w:rsidRPr="00733C0D">
        <w:rPr>
          <w:sz w:val="22"/>
          <w:szCs w:val="22"/>
          <w:lang w:val="cs-CZ"/>
        </w:rPr>
        <w:t>ke zpětnému odkupu</w:t>
      </w:r>
      <w:r w:rsidRPr="00733C0D">
        <w:rPr>
          <w:sz w:val="22"/>
          <w:szCs w:val="22"/>
          <w:lang w:val="cs-CZ"/>
        </w:rPr>
        <w:t xml:space="preserve"> Participace je </w:t>
      </w:r>
      <w:proofErr w:type="spellStart"/>
      <w:r w:rsidRPr="00733C0D">
        <w:rPr>
          <w:sz w:val="22"/>
          <w:szCs w:val="22"/>
          <w:lang w:val="cs-CZ"/>
        </w:rPr>
        <w:t>Bankee</w:t>
      </w:r>
      <w:proofErr w:type="spellEnd"/>
      <w:r w:rsidRPr="00733C0D">
        <w:rPr>
          <w:sz w:val="22"/>
          <w:szCs w:val="22"/>
          <w:lang w:val="cs-CZ"/>
        </w:rPr>
        <w:t xml:space="preserve"> oprávněna</w:t>
      </w:r>
      <w:r w:rsidR="00733C0D" w:rsidRPr="00733C0D">
        <w:rPr>
          <w:sz w:val="22"/>
          <w:szCs w:val="22"/>
          <w:lang w:val="cs-CZ"/>
        </w:rPr>
        <w:t xml:space="preserve"> kdykoliv požadovat odkoupení</w:t>
      </w:r>
      <w:r w:rsidRPr="00733C0D">
        <w:rPr>
          <w:sz w:val="22"/>
          <w:szCs w:val="22"/>
          <w:lang w:val="cs-CZ"/>
        </w:rPr>
        <w:t xml:space="preserve"> Participac</w:t>
      </w:r>
      <w:r w:rsidR="00733C0D" w:rsidRPr="00733C0D">
        <w:rPr>
          <w:sz w:val="22"/>
          <w:szCs w:val="22"/>
          <w:lang w:val="cs-CZ"/>
        </w:rPr>
        <w:t xml:space="preserve">e </w:t>
      </w:r>
      <w:r w:rsidRPr="00733C0D">
        <w:rPr>
          <w:sz w:val="22"/>
          <w:szCs w:val="22"/>
          <w:lang w:val="cs-CZ"/>
        </w:rPr>
        <w:t xml:space="preserve">od Investora. Ke zpětnému odkupu Participace </w:t>
      </w:r>
      <w:r w:rsidR="001C3D2B">
        <w:rPr>
          <w:sz w:val="22"/>
          <w:szCs w:val="22"/>
          <w:lang w:val="cs-CZ"/>
        </w:rPr>
        <w:t xml:space="preserve">(tj. k postoupení </w:t>
      </w:r>
      <w:r w:rsidR="00830857">
        <w:rPr>
          <w:sz w:val="22"/>
          <w:szCs w:val="22"/>
          <w:lang w:val="cs-CZ"/>
        </w:rPr>
        <w:t xml:space="preserve">všech </w:t>
      </w:r>
      <w:r w:rsidR="001C3D2B">
        <w:rPr>
          <w:sz w:val="22"/>
          <w:szCs w:val="22"/>
          <w:lang w:val="cs-CZ"/>
        </w:rPr>
        <w:t xml:space="preserve">pohledávek Investora z příslušného Úvěru zpět na </w:t>
      </w:r>
      <w:proofErr w:type="spellStart"/>
      <w:r w:rsidR="001C3D2B">
        <w:rPr>
          <w:sz w:val="22"/>
          <w:szCs w:val="22"/>
          <w:lang w:val="cs-CZ"/>
        </w:rPr>
        <w:t>Bankee</w:t>
      </w:r>
      <w:proofErr w:type="spellEnd"/>
      <w:r w:rsidR="00C044A1">
        <w:rPr>
          <w:sz w:val="22"/>
          <w:szCs w:val="22"/>
          <w:lang w:val="cs-CZ"/>
        </w:rPr>
        <w:t xml:space="preserve">) </w:t>
      </w:r>
      <w:r w:rsidRPr="00733C0D">
        <w:rPr>
          <w:sz w:val="22"/>
          <w:szCs w:val="22"/>
          <w:lang w:val="cs-CZ"/>
        </w:rPr>
        <w:t>dojde pátým pracovním dnem po doručení oznámení</w:t>
      </w:r>
      <w:r w:rsidR="00733C0D" w:rsidRPr="00733C0D">
        <w:rPr>
          <w:sz w:val="22"/>
          <w:szCs w:val="22"/>
          <w:lang w:val="cs-CZ"/>
        </w:rPr>
        <w:t xml:space="preserve"> </w:t>
      </w:r>
      <w:proofErr w:type="spellStart"/>
      <w:r w:rsidR="00733C0D" w:rsidRPr="00733C0D">
        <w:rPr>
          <w:sz w:val="22"/>
          <w:szCs w:val="22"/>
          <w:lang w:val="cs-CZ"/>
        </w:rPr>
        <w:t>Bankee</w:t>
      </w:r>
      <w:proofErr w:type="spellEnd"/>
      <w:r w:rsidR="00733C0D" w:rsidRPr="00733C0D">
        <w:rPr>
          <w:sz w:val="22"/>
          <w:szCs w:val="22"/>
          <w:lang w:val="cs-CZ"/>
        </w:rPr>
        <w:t xml:space="preserve"> o</w:t>
      </w:r>
      <w:r w:rsidRPr="00733C0D">
        <w:rPr>
          <w:sz w:val="22"/>
          <w:szCs w:val="22"/>
          <w:lang w:val="cs-CZ"/>
        </w:rPr>
        <w:t xml:space="preserve"> uplatnění práva zpětného odkupu Participace Investorovi. </w:t>
      </w:r>
      <w:r w:rsidR="00733C0D" w:rsidRPr="00733C0D">
        <w:rPr>
          <w:sz w:val="22"/>
          <w:szCs w:val="22"/>
          <w:lang w:val="cs-CZ"/>
        </w:rPr>
        <w:t xml:space="preserve">V takovém případě </w:t>
      </w:r>
      <w:proofErr w:type="spellStart"/>
      <w:r w:rsidR="00733C0D" w:rsidRPr="00733C0D">
        <w:rPr>
          <w:sz w:val="22"/>
          <w:szCs w:val="22"/>
          <w:lang w:val="cs-CZ"/>
        </w:rPr>
        <w:t>Bankee</w:t>
      </w:r>
      <w:proofErr w:type="spellEnd"/>
      <w:r w:rsidR="00733C0D" w:rsidRPr="00733C0D">
        <w:rPr>
          <w:sz w:val="22"/>
          <w:szCs w:val="22"/>
          <w:lang w:val="cs-CZ"/>
        </w:rPr>
        <w:t xml:space="preserve"> uhradí Investorovi kupní cenu za zpětný odkup Participace nejpozději ve</w:t>
      </w:r>
      <w:r w:rsidR="009E04D0" w:rsidRPr="003557B1">
        <w:rPr>
          <w:sz w:val="22"/>
          <w:szCs w:val="22"/>
          <w:lang w:val="cs-CZ"/>
        </w:rPr>
        <w:t> </w:t>
      </w:r>
      <w:r w:rsidR="00733C0D" w:rsidRPr="00733C0D">
        <w:rPr>
          <w:sz w:val="22"/>
          <w:szCs w:val="22"/>
          <w:lang w:val="cs-CZ"/>
        </w:rPr>
        <w:t xml:space="preserve">lhůtě podle předchozí věty. Zároveň je </w:t>
      </w:r>
      <w:proofErr w:type="spellStart"/>
      <w:r w:rsidR="00733C0D" w:rsidRPr="00733C0D">
        <w:rPr>
          <w:sz w:val="22"/>
          <w:szCs w:val="22"/>
          <w:lang w:val="cs-CZ"/>
        </w:rPr>
        <w:t>Bankee</w:t>
      </w:r>
      <w:proofErr w:type="spellEnd"/>
      <w:r w:rsidR="00733C0D" w:rsidRPr="00733C0D">
        <w:rPr>
          <w:sz w:val="22"/>
          <w:szCs w:val="22"/>
          <w:lang w:val="cs-CZ"/>
        </w:rPr>
        <w:t xml:space="preserve"> oprávněna odstranit Investora z evidence na Platformě. Výše kupní ceny se rovná nesplacené jistině Participace Investora ke dni uplatnění práva </w:t>
      </w:r>
      <w:proofErr w:type="spellStart"/>
      <w:r w:rsidR="00733C0D">
        <w:rPr>
          <w:sz w:val="22"/>
          <w:szCs w:val="22"/>
          <w:lang w:val="cs-CZ"/>
        </w:rPr>
        <w:t>B</w:t>
      </w:r>
      <w:r w:rsidR="00733C0D" w:rsidRPr="00733C0D">
        <w:rPr>
          <w:sz w:val="22"/>
          <w:szCs w:val="22"/>
          <w:lang w:val="cs-CZ"/>
        </w:rPr>
        <w:t>ankee</w:t>
      </w:r>
      <w:proofErr w:type="spellEnd"/>
      <w:r w:rsidR="00733C0D" w:rsidRPr="00733C0D">
        <w:rPr>
          <w:sz w:val="22"/>
          <w:szCs w:val="22"/>
          <w:lang w:val="cs-CZ"/>
        </w:rPr>
        <w:t xml:space="preserve"> na zpětný odkup Participace.</w:t>
      </w:r>
      <w:r w:rsidR="00733C0D">
        <w:rPr>
          <w:sz w:val="22"/>
          <w:szCs w:val="22"/>
          <w:lang w:val="cs-CZ"/>
        </w:rPr>
        <w:t xml:space="preserve"> </w:t>
      </w:r>
      <w:proofErr w:type="spellStart"/>
      <w:r w:rsidR="00830857" w:rsidRPr="00733C0D">
        <w:rPr>
          <w:sz w:val="22"/>
          <w:szCs w:val="22"/>
          <w:lang w:val="cs-CZ"/>
        </w:rPr>
        <w:t>Bankee</w:t>
      </w:r>
      <w:proofErr w:type="spellEnd"/>
      <w:r w:rsidR="00830857" w:rsidRPr="00733C0D">
        <w:rPr>
          <w:sz w:val="22"/>
          <w:szCs w:val="22"/>
          <w:lang w:val="cs-CZ"/>
        </w:rPr>
        <w:t xml:space="preserve"> může toto oznámení učinit prostřednictvím Platformy, písemně nebo e-mailem. </w:t>
      </w:r>
      <w:proofErr w:type="spellStart"/>
      <w:r w:rsidR="00733C0D">
        <w:rPr>
          <w:sz w:val="22"/>
          <w:szCs w:val="22"/>
          <w:lang w:val="cs-CZ"/>
        </w:rPr>
        <w:t>Bankee</w:t>
      </w:r>
      <w:proofErr w:type="spellEnd"/>
      <w:r w:rsidR="00733C0D">
        <w:rPr>
          <w:sz w:val="22"/>
          <w:szCs w:val="22"/>
          <w:lang w:val="cs-CZ"/>
        </w:rPr>
        <w:t xml:space="preserve"> je oprávněna uplatnit své právo na zpětný odkup Participace zejména (nikoliv však výlučně) v následujících případech:</w:t>
      </w:r>
      <w:bookmarkEnd w:id="20"/>
    </w:p>
    <w:p w14:paraId="16675C90" w14:textId="4A208489" w:rsidR="00733C0D" w:rsidRPr="003557B1" w:rsidRDefault="00733C0D" w:rsidP="00733C0D">
      <w:pPr>
        <w:pStyle w:val="Nadpis3"/>
        <w:rPr>
          <w:snapToGrid/>
          <w:sz w:val="22"/>
          <w:szCs w:val="22"/>
          <w:lang w:val="cs-CZ"/>
        </w:rPr>
      </w:pPr>
      <w:r w:rsidRPr="003557B1">
        <w:rPr>
          <w:sz w:val="22"/>
          <w:szCs w:val="22"/>
          <w:lang w:val="cs-CZ"/>
        </w:rPr>
        <w:t>Úvěrovaný je v prodlení s úhradou Plnění</w:t>
      </w:r>
      <w:r w:rsidRPr="003557B1">
        <w:rPr>
          <w:snapToGrid/>
          <w:sz w:val="22"/>
          <w:szCs w:val="22"/>
          <w:lang w:val="cs-CZ"/>
        </w:rPr>
        <w:t>;</w:t>
      </w:r>
    </w:p>
    <w:p w14:paraId="2BD52E96" w14:textId="6E8111F4" w:rsidR="003557B1" w:rsidRPr="003557B1" w:rsidRDefault="003557B1" w:rsidP="003557B1">
      <w:pPr>
        <w:pStyle w:val="Nadpis3"/>
        <w:rPr>
          <w:snapToGrid/>
          <w:sz w:val="22"/>
          <w:szCs w:val="22"/>
          <w:lang w:val="cs-CZ"/>
        </w:rPr>
      </w:pPr>
      <w:r w:rsidRPr="003557B1">
        <w:rPr>
          <w:sz w:val="22"/>
          <w:szCs w:val="22"/>
          <w:lang w:val="cs-CZ"/>
        </w:rPr>
        <w:t>Investor zemře nebo je prohlášen za mrtvého</w:t>
      </w:r>
      <w:r w:rsidRPr="003557B1">
        <w:rPr>
          <w:snapToGrid/>
          <w:sz w:val="22"/>
          <w:szCs w:val="22"/>
          <w:lang w:val="cs-CZ"/>
        </w:rPr>
        <w:t>;</w:t>
      </w:r>
    </w:p>
    <w:p w14:paraId="1210490D" w14:textId="432A5492" w:rsidR="003557B1" w:rsidRPr="003557B1" w:rsidRDefault="003557B1" w:rsidP="003557B1">
      <w:pPr>
        <w:pStyle w:val="Nadpis3"/>
        <w:rPr>
          <w:snapToGrid/>
          <w:sz w:val="22"/>
          <w:szCs w:val="22"/>
          <w:lang w:val="cs-CZ"/>
        </w:rPr>
      </w:pPr>
      <w:r w:rsidRPr="003557B1">
        <w:rPr>
          <w:sz w:val="22"/>
          <w:szCs w:val="22"/>
          <w:lang w:val="cs-CZ"/>
        </w:rPr>
        <w:t xml:space="preserve">s ohledem na rozumné uvážení </w:t>
      </w:r>
      <w:proofErr w:type="spellStart"/>
      <w:r w:rsidRPr="003557B1">
        <w:rPr>
          <w:sz w:val="22"/>
          <w:szCs w:val="22"/>
          <w:lang w:val="cs-CZ"/>
        </w:rPr>
        <w:t>Bankee</w:t>
      </w:r>
      <w:proofErr w:type="spellEnd"/>
      <w:r w:rsidRPr="003557B1">
        <w:rPr>
          <w:sz w:val="22"/>
          <w:szCs w:val="22"/>
          <w:lang w:val="cs-CZ"/>
        </w:rPr>
        <w:t xml:space="preserve"> </w:t>
      </w:r>
      <w:r w:rsidR="0068617D">
        <w:rPr>
          <w:sz w:val="22"/>
          <w:szCs w:val="22"/>
          <w:lang w:val="cs-CZ"/>
        </w:rPr>
        <w:t xml:space="preserve">je </w:t>
      </w:r>
      <w:r w:rsidRPr="003557B1">
        <w:rPr>
          <w:sz w:val="22"/>
          <w:szCs w:val="22"/>
          <w:lang w:val="cs-CZ"/>
        </w:rPr>
        <w:t>zřejmé, že nedojde k úplnému vymožení Splatných pohledávek</w:t>
      </w:r>
      <w:r w:rsidRPr="003557B1">
        <w:rPr>
          <w:snapToGrid/>
          <w:sz w:val="22"/>
          <w:szCs w:val="22"/>
          <w:lang w:val="cs-CZ"/>
        </w:rPr>
        <w:t>;</w:t>
      </w:r>
    </w:p>
    <w:p w14:paraId="18CDE0D9" w14:textId="43804D26" w:rsidR="003557B1" w:rsidRPr="003557B1" w:rsidRDefault="003557B1" w:rsidP="003557B1">
      <w:pPr>
        <w:pStyle w:val="Nadpis3"/>
        <w:rPr>
          <w:snapToGrid/>
          <w:sz w:val="22"/>
          <w:szCs w:val="22"/>
          <w:lang w:val="cs-CZ"/>
        </w:rPr>
      </w:pPr>
      <w:r w:rsidRPr="003557B1">
        <w:rPr>
          <w:sz w:val="22"/>
          <w:szCs w:val="22"/>
          <w:lang w:val="cs-CZ"/>
        </w:rPr>
        <w:t>nastane nebo trvá případ porušení, jež má význam v článku 8.4 Obchodních podmínek</w:t>
      </w:r>
      <w:r w:rsidRPr="003557B1">
        <w:rPr>
          <w:snapToGrid/>
          <w:sz w:val="22"/>
          <w:szCs w:val="22"/>
          <w:lang w:val="cs-CZ"/>
        </w:rPr>
        <w:t>;</w:t>
      </w:r>
    </w:p>
    <w:p w14:paraId="5D1DCF75" w14:textId="3638A77C" w:rsidR="003557B1" w:rsidRDefault="003557B1" w:rsidP="003557B1">
      <w:pPr>
        <w:pStyle w:val="Nadpis3"/>
        <w:rPr>
          <w:snapToGrid/>
          <w:sz w:val="22"/>
          <w:szCs w:val="22"/>
          <w:lang w:val="cs-CZ"/>
        </w:rPr>
      </w:pPr>
      <w:r w:rsidRPr="003557B1">
        <w:rPr>
          <w:sz w:val="22"/>
          <w:szCs w:val="22"/>
          <w:lang w:val="cs-CZ"/>
        </w:rPr>
        <w:t xml:space="preserve">Investor uděluje </w:t>
      </w:r>
      <w:proofErr w:type="spellStart"/>
      <w:r w:rsidRPr="003557B1">
        <w:rPr>
          <w:sz w:val="22"/>
          <w:szCs w:val="22"/>
          <w:lang w:val="cs-CZ"/>
        </w:rPr>
        <w:t>Bankee</w:t>
      </w:r>
      <w:proofErr w:type="spellEnd"/>
      <w:r w:rsidRPr="003557B1">
        <w:rPr>
          <w:sz w:val="22"/>
          <w:szCs w:val="22"/>
          <w:lang w:val="cs-CZ"/>
        </w:rPr>
        <w:t xml:space="preserve"> pokyny v rozporu s touto Rámcovou smlouvou a Obchodními podmínkami nebo činí jednání směřující k ukončení komise sjednané mezi </w:t>
      </w:r>
      <w:proofErr w:type="spellStart"/>
      <w:r w:rsidRPr="003557B1">
        <w:rPr>
          <w:sz w:val="22"/>
          <w:szCs w:val="22"/>
          <w:lang w:val="cs-CZ"/>
        </w:rPr>
        <w:t>Bankee</w:t>
      </w:r>
      <w:proofErr w:type="spellEnd"/>
      <w:r w:rsidRPr="003557B1">
        <w:rPr>
          <w:sz w:val="22"/>
          <w:szCs w:val="22"/>
          <w:lang w:val="cs-CZ"/>
        </w:rPr>
        <w:t xml:space="preserve"> a Investorem</w:t>
      </w:r>
      <w:r w:rsidRPr="003557B1">
        <w:rPr>
          <w:snapToGrid/>
          <w:sz w:val="22"/>
          <w:szCs w:val="22"/>
          <w:lang w:val="cs-CZ"/>
        </w:rPr>
        <w:t>;</w:t>
      </w:r>
    </w:p>
    <w:p w14:paraId="1A94FA9A" w14:textId="34AE220B" w:rsidR="003557B1" w:rsidRDefault="003557B1" w:rsidP="003557B1">
      <w:pPr>
        <w:pStyle w:val="Nadpis3"/>
        <w:rPr>
          <w:sz w:val="22"/>
          <w:szCs w:val="22"/>
          <w:lang w:val="cs-CZ"/>
        </w:rPr>
      </w:pPr>
      <w:r w:rsidRPr="003557B1">
        <w:rPr>
          <w:sz w:val="22"/>
          <w:szCs w:val="22"/>
          <w:lang w:val="cs-CZ"/>
        </w:rPr>
        <w:t>dojde k ukončení této Rámcové smlouvy;</w:t>
      </w:r>
    </w:p>
    <w:p w14:paraId="24A2B710" w14:textId="74B1E242" w:rsidR="00C63D64" w:rsidRDefault="000E3D40" w:rsidP="00C63D64">
      <w:pPr>
        <w:pStyle w:val="Nadpis3"/>
        <w:rPr>
          <w:sz w:val="22"/>
          <w:szCs w:val="22"/>
          <w:lang w:val="cs-CZ"/>
        </w:rPr>
      </w:pPr>
      <w:proofErr w:type="spellStart"/>
      <w:r w:rsidRPr="00A84EA9">
        <w:rPr>
          <w:sz w:val="22"/>
          <w:szCs w:val="22"/>
          <w:lang w:val="cs-CZ"/>
        </w:rPr>
        <w:t>Bankee</w:t>
      </w:r>
      <w:proofErr w:type="spellEnd"/>
      <w:r w:rsidRPr="00A84EA9">
        <w:rPr>
          <w:sz w:val="22"/>
          <w:szCs w:val="22"/>
          <w:lang w:val="cs-CZ"/>
        </w:rPr>
        <w:t xml:space="preserve"> ukončí služby poskytované na základě této Rámcové smlouvy, </w:t>
      </w:r>
      <w:r w:rsidR="00A84EA9" w:rsidRPr="00A84EA9">
        <w:rPr>
          <w:sz w:val="22"/>
          <w:szCs w:val="22"/>
          <w:lang w:val="cs-CZ"/>
        </w:rPr>
        <w:t xml:space="preserve">zejména </w:t>
      </w:r>
      <w:r w:rsidR="00A84EA9">
        <w:rPr>
          <w:sz w:val="22"/>
          <w:szCs w:val="22"/>
          <w:lang w:val="cs-CZ"/>
        </w:rPr>
        <w:t>z důvodu</w:t>
      </w:r>
      <w:r w:rsidR="00A84EA9" w:rsidRPr="00A84EA9">
        <w:rPr>
          <w:sz w:val="22"/>
          <w:szCs w:val="22"/>
          <w:lang w:val="cs-CZ"/>
        </w:rPr>
        <w:t xml:space="preserve"> změny </w:t>
      </w:r>
      <w:r w:rsidR="00C63D64" w:rsidRPr="00A84EA9">
        <w:rPr>
          <w:sz w:val="22"/>
          <w:szCs w:val="22"/>
          <w:lang w:val="cs-CZ"/>
        </w:rPr>
        <w:t>právních předpisů nebo změn závazného výkladu</w:t>
      </w:r>
      <w:r w:rsidR="00A84EA9" w:rsidRPr="00A84EA9">
        <w:rPr>
          <w:sz w:val="22"/>
          <w:szCs w:val="22"/>
          <w:lang w:val="cs-CZ"/>
        </w:rPr>
        <w:t xml:space="preserve"> ze strany správních orgánů ohledně poskytování Par</w:t>
      </w:r>
      <w:r w:rsidR="00A84EA9">
        <w:rPr>
          <w:sz w:val="22"/>
          <w:szCs w:val="22"/>
          <w:lang w:val="cs-CZ"/>
        </w:rPr>
        <w:t>t</w:t>
      </w:r>
      <w:r w:rsidR="00A84EA9" w:rsidRPr="00A84EA9">
        <w:rPr>
          <w:sz w:val="22"/>
          <w:szCs w:val="22"/>
          <w:lang w:val="cs-CZ"/>
        </w:rPr>
        <w:t>icipací a Správy Participací</w:t>
      </w:r>
      <w:r w:rsidR="00A84EA9">
        <w:rPr>
          <w:sz w:val="22"/>
          <w:szCs w:val="22"/>
          <w:lang w:val="cs-CZ"/>
        </w:rPr>
        <w:t xml:space="preserve"> ze strany </w:t>
      </w:r>
      <w:proofErr w:type="spellStart"/>
      <w:r w:rsidR="00A84EA9">
        <w:rPr>
          <w:sz w:val="22"/>
          <w:szCs w:val="22"/>
          <w:lang w:val="cs-CZ"/>
        </w:rPr>
        <w:t>Bankee</w:t>
      </w:r>
      <w:proofErr w:type="spellEnd"/>
      <w:r w:rsidR="00A84EA9">
        <w:rPr>
          <w:sz w:val="22"/>
          <w:szCs w:val="22"/>
          <w:lang w:val="cs-CZ"/>
        </w:rPr>
        <w:t>.</w:t>
      </w:r>
    </w:p>
    <w:p w14:paraId="72CD2789" w14:textId="3160406C" w:rsidR="00B509E7" w:rsidRDefault="000239AB" w:rsidP="009B5CBC">
      <w:pPr>
        <w:pStyle w:val="Nadpis2"/>
        <w:rPr>
          <w:sz w:val="22"/>
          <w:szCs w:val="22"/>
          <w:lang w:val="cs-CZ"/>
        </w:rPr>
      </w:pPr>
      <w:bookmarkStart w:id="21" w:name="_Ref216263999"/>
      <w:r>
        <w:rPr>
          <w:sz w:val="22"/>
          <w:szCs w:val="22"/>
          <w:lang w:val="cs-CZ"/>
        </w:rPr>
        <w:t>Bez ohledu</w:t>
      </w:r>
      <w:r w:rsidR="00A10C3E">
        <w:rPr>
          <w:sz w:val="22"/>
          <w:szCs w:val="22"/>
          <w:lang w:val="cs-CZ"/>
        </w:rPr>
        <w:t xml:space="preserve"> </w:t>
      </w:r>
      <w:r w:rsidR="000D5BC3">
        <w:rPr>
          <w:sz w:val="22"/>
          <w:szCs w:val="22"/>
          <w:lang w:val="cs-CZ"/>
        </w:rPr>
        <w:t xml:space="preserve">na </w:t>
      </w:r>
      <w:r w:rsidR="00C044A1">
        <w:rPr>
          <w:sz w:val="22"/>
          <w:szCs w:val="22"/>
          <w:lang w:val="cs-CZ"/>
        </w:rPr>
        <w:t xml:space="preserve">oprávnění </w:t>
      </w:r>
      <w:proofErr w:type="spellStart"/>
      <w:r w:rsidR="006140DD">
        <w:rPr>
          <w:sz w:val="22"/>
          <w:szCs w:val="22"/>
          <w:lang w:val="cs-CZ"/>
        </w:rPr>
        <w:t>Bankee</w:t>
      </w:r>
      <w:proofErr w:type="spellEnd"/>
      <w:r w:rsidR="006140DD">
        <w:rPr>
          <w:sz w:val="22"/>
          <w:szCs w:val="22"/>
          <w:lang w:val="cs-CZ"/>
        </w:rPr>
        <w:t xml:space="preserve"> </w:t>
      </w:r>
      <w:r w:rsidR="00C044A1">
        <w:rPr>
          <w:sz w:val="22"/>
          <w:szCs w:val="22"/>
          <w:lang w:val="cs-CZ"/>
        </w:rPr>
        <w:t xml:space="preserve">stanovená v článku </w:t>
      </w:r>
      <w:r w:rsidR="006140DD">
        <w:rPr>
          <w:sz w:val="22"/>
          <w:szCs w:val="22"/>
          <w:lang w:val="cs-CZ"/>
        </w:rPr>
        <w:fldChar w:fldCharType="begin"/>
      </w:r>
      <w:r w:rsidR="006140DD">
        <w:rPr>
          <w:sz w:val="22"/>
          <w:szCs w:val="22"/>
          <w:lang w:val="cs-CZ"/>
        </w:rPr>
        <w:instrText xml:space="preserve"> REF _Ref216261127 \r \h </w:instrText>
      </w:r>
      <w:r w:rsidR="006140DD">
        <w:rPr>
          <w:sz w:val="22"/>
          <w:szCs w:val="22"/>
          <w:lang w:val="cs-CZ"/>
        </w:rPr>
      </w:r>
      <w:r w:rsidR="006140DD">
        <w:rPr>
          <w:sz w:val="22"/>
          <w:szCs w:val="22"/>
          <w:lang w:val="cs-CZ"/>
        </w:rPr>
        <w:fldChar w:fldCharType="separate"/>
      </w:r>
      <w:r w:rsidR="006140DD">
        <w:rPr>
          <w:sz w:val="22"/>
          <w:szCs w:val="22"/>
          <w:lang w:val="cs-CZ"/>
        </w:rPr>
        <w:t>7.2</w:t>
      </w:r>
      <w:r w:rsidR="006140DD">
        <w:rPr>
          <w:sz w:val="22"/>
          <w:szCs w:val="22"/>
          <w:lang w:val="cs-CZ"/>
        </w:rPr>
        <w:fldChar w:fldCharType="end"/>
      </w:r>
      <w:r w:rsidR="006140DD">
        <w:rPr>
          <w:sz w:val="22"/>
          <w:szCs w:val="22"/>
          <w:lang w:val="cs-CZ"/>
        </w:rPr>
        <w:t xml:space="preserve"> </w:t>
      </w:r>
      <w:r w:rsidR="00C044A1">
        <w:rPr>
          <w:sz w:val="22"/>
          <w:szCs w:val="22"/>
          <w:lang w:val="cs-CZ"/>
        </w:rPr>
        <w:t xml:space="preserve">této Rámcové smlouvy je </w:t>
      </w:r>
      <w:proofErr w:type="spellStart"/>
      <w:r w:rsidR="00C044A1">
        <w:rPr>
          <w:sz w:val="22"/>
          <w:szCs w:val="22"/>
          <w:lang w:val="cs-CZ"/>
        </w:rPr>
        <w:t>Bankee</w:t>
      </w:r>
      <w:proofErr w:type="spellEnd"/>
      <w:r w:rsidR="00C044A1">
        <w:rPr>
          <w:sz w:val="22"/>
          <w:szCs w:val="22"/>
          <w:lang w:val="cs-CZ"/>
        </w:rPr>
        <w:t xml:space="preserve"> oprávněna </w:t>
      </w:r>
      <w:r w:rsidR="00A10C3E">
        <w:rPr>
          <w:sz w:val="22"/>
          <w:szCs w:val="22"/>
          <w:lang w:val="cs-CZ"/>
        </w:rPr>
        <w:t xml:space="preserve">požadovat </w:t>
      </w:r>
      <w:r w:rsidR="00C044A1">
        <w:rPr>
          <w:sz w:val="22"/>
          <w:szCs w:val="22"/>
          <w:lang w:val="cs-CZ"/>
        </w:rPr>
        <w:t>po Investorovi</w:t>
      </w:r>
      <w:r w:rsidR="006140DD">
        <w:rPr>
          <w:sz w:val="22"/>
          <w:szCs w:val="22"/>
          <w:lang w:val="cs-CZ"/>
        </w:rPr>
        <w:t xml:space="preserve"> odkoupení jeho Participace speciálně v případě</w:t>
      </w:r>
      <w:r w:rsidR="00C044A1">
        <w:rPr>
          <w:sz w:val="22"/>
          <w:szCs w:val="22"/>
          <w:lang w:val="cs-CZ"/>
        </w:rPr>
        <w:t xml:space="preserve">, </w:t>
      </w:r>
      <w:r w:rsidR="00A10C3E">
        <w:rPr>
          <w:sz w:val="22"/>
          <w:szCs w:val="22"/>
          <w:lang w:val="cs-CZ"/>
        </w:rPr>
        <w:t>že</w:t>
      </w:r>
      <w:r w:rsidR="006140DD" w:rsidRPr="006140DD">
        <w:rPr>
          <w:sz w:val="22"/>
          <w:szCs w:val="22"/>
          <w:lang w:val="cs-CZ"/>
        </w:rPr>
        <w:t xml:space="preserve"> v období 90 dnů od vzniku Splatných pohledávek </w:t>
      </w:r>
      <w:r w:rsidR="00A10C3E">
        <w:rPr>
          <w:sz w:val="22"/>
          <w:szCs w:val="22"/>
          <w:lang w:val="cs-CZ"/>
        </w:rPr>
        <w:t xml:space="preserve">nedojde </w:t>
      </w:r>
      <w:r w:rsidR="006140DD" w:rsidRPr="006140DD">
        <w:rPr>
          <w:sz w:val="22"/>
          <w:szCs w:val="22"/>
          <w:lang w:val="cs-CZ"/>
        </w:rPr>
        <w:t>k obnově úhrad</w:t>
      </w:r>
      <w:r w:rsidR="000D5BC3">
        <w:rPr>
          <w:sz w:val="22"/>
          <w:szCs w:val="22"/>
          <w:lang w:val="cs-CZ"/>
        </w:rPr>
        <w:t xml:space="preserve"> Plnění</w:t>
      </w:r>
      <w:r w:rsidR="006140DD" w:rsidRPr="006140DD">
        <w:rPr>
          <w:sz w:val="22"/>
          <w:szCs w:val="22"/>
          <w:lang w:val="cs-CZ"/>
        </w:rPr>
        <w:t xml:space="preserve"> od Úvěrovaného či k uzavření odpovídající dohody s Úvěrovaným (např. o dodatečném zajištění či </w:t>
      </w:r>
      <w:r w:rsidR="00830857">
        <w:rPr>
          <w:sz w:val="22"/>
          <w:szCs w:val="22"/>
          <w:lang w:val="cs-CZ"/>
        </w:rPr>
        <w:t xml:space="preserve">o </w:t>
      </w:r>
      <w:r w:rsidR="006140DD" w:rsidRPr="006140DD">
        <w:rPr>
          <w:sz w:val="22"/>
          <w:szCs w:val="22"/>
          <w:lang w:val="cs-CZ"/>
        </w:rPr>
        <w:t>splátkovém kalendáři)</w:t>
      </w:r>
      <w:r w:rsidR="00A10C3E">
        <w:rPr>
          <w:sz w:val="22"/>
          <w:szCs w:val="22"/>
          <w:lang w:val="cs-CZ"/>
        </w:rPr>
        <w:t xml:space="preserve">. Toto oprávnění </w:t>
      </w:r>
      <w:proofErr w:type="spellStart"/>
      <w:r w:rsidR="00A10C3E">
        <w:rPr>
          <w:sz w:val="22"/>
          <w:szCs w:val="22"/>
          <w:lang w:val="cs-CZ"/>
        </w:rPr>
        <w:t>Bankee</w:t>
      </w:r>
      <w:proofErr w:type="spellEnd"/>
      <w:r w:rsidR="00A10C3E">
        <w:rPr>
          <w:sz w:val="22"/>
          <w:szCs w:val="22"/>
          <w:lang w:val="cs-CZ"/>
        </w:rPr>
        <w:t xml:space="preserve"> slouží k n</w:t>
      </w:r>
      <w:r w:rsidR="006140DD">
        <w:rPr>
          <w:sz w:val="22"/>
          <w:szCs w:val="22"/>
          <w:lang w:val="cs-CZ"/>
        </w:rPr>
        <w:t>ásledné</w:t>
      </w:r>
      <w:r w:rsidR="00A10C3E">
        <w:rPr>
          <w:sz w:val="22"/>
          <w:szCs w:val="22"/>
          <w:lang w:val="cs-CZ"/>
        </w:rPr>
        <w:t>mu</w:t>
      </w:r>
      <w:r w:rsidR="006140DD">
        <w:rPr>
          <w:sz w:val="22"/>
          <w:szCs w:val="22"/>
          <w:lang w:val="cs-CZ"/>
        </w:rPr>
        <w:t xml:space="preserve"> vymáhání</w:t>
      </w:r>
      <w:r w:rsidR="00A10C3E">
        <w:rPr>
          <w:sz w:val="22"/>
          <w:szCs w:val="22"/>
          <w:lang w:val="cs-CZ"/>
        </w:rPr>
        <w:t xml:space="preserve"> Splatných pohledávek</w:t>
      </w:r>
      <w:r w:rsidR="006140DD">
        <w:rPr>
          <w:sz w:val="22"/>
          <w:szCs w:val="22"/>
          <w:lang w:val="cs-CZ"/>
        </w:rPr>
        <w:t xml:space="preserve"> </w:t>
      </w:r>
      <w:r w:rsidR="00830857">
        <w:rPr>
          <w:sz w:val="22"/>
          <w:szCs w:val="22"/>
          <w:lang w:val="cs-CZ"/>
        </w:rPr>
        <w:t>prostřednictvím</w:t>
      </w:r>
      <w:r w:rsidR="006140DD">
        <w:rPr>
          <w:sz w:val="22"/>
          <w:szCs w:val="22"/>
          <w:lang w:val="cs-CZ"/>
        </w:rPr>
        <w:t xml:space="preserve"> třetí osoby </w:t>
      </w:r>
      <w:r w:rsidR="006140DD">
        <w:rPr>
          <w:sz w:val="22"/>
          <w:szCs w:val="22"/>
          <w:lang w:val="cs-CZ"/>
        </w:rPr>
        <w:lastRenderedPageBreak/>
        <w:t>specializované na nákup a vymáhání pohledávek</w:t>
      </w:r>
      <w:r w:rsidR="00830857">
        <w:rPr>
          <w:sz w:val="22"/>
          <w:szCs w:val="22"/>
          <w:lang w:val="cs-CZ"/>
        </w:rPr>
        <w:t xml:space="preserve">, kterou určí </w:t>
      </w:r>
      <w:proofErr w:type="spellStart"/>
      <w:r w:rsidR="00830857">
        <w:rPr>
          <w:sz w:val="22"/>
          <w:szCs w:val="22"/>
          <w:lang w:val="cs-CZ"/>
        </w:rPr>
        <w:t>Bankee</w:t>
      </w:r>
      <w:proofErr w:type="spellEnd"/>
      <w:r w:rsidR="006140DD">
        <w:rPr>
          <w:sz w:val="22"/>
          <w:szCs w:val="22"/>
          <w:lang w:val="cs-CZ"/>
        </w:rPr>
        <w:t xml:space="preserve">. </w:t>
      </w:r>
      <w:proofErr w:type="spellStart"/>
      <w:r w:rsidR="006140DD">
        <w:rPr>
          <w:sz w:val="22"/>
          <w:szCs w:val="22"/>
          <w:lang w:val="cs-CZ"/>
        </w:rPr>
        <w:t>Bankee</w:t>
      </w:r>
      <w:proofErr w:type="spellEnd"/>
      <w:r w:rsidR="006140DD">
        <w:rPr>
          <w:sz w:val="22"/>
          <w:szCs w:val="22"/>
          <w:lang w:val="cs-CZ"/>
        </w:rPr>
        <w:t xml:space="preserve"> </w:t>
      </w:r>
      <w:r w:rsidR="00A10C3E">
        <w:rPr>
          <w:sz w:val="22"/>
          <w:szCs w:val="22"/>
          <w:lang w:val="cs-CZ"/>
        </w:rPr>
        <w:t>vyvine</w:t>
      </w:r>
      <w:r w:rsidR="006140DD">
        <w:rPr>
          <w:sz w:val="22"/>
          <w:szCs w:val="22"/>
          <w:lang w:val="cs-CZ"/>
        </w:rPr>
        <w:t xml:space="preserve"> maximální úsilí </w:t>
      </w:r>
      <w:r w:rsidR="00A10C3E">
        <w:rPr>
          <w:sz w:val="22"/>
          <w:szCs w:val="22"/>
          <w:lang w:val="cs-CZ"/>
        </w:rPr>
        <w:t>k</w:t>
      </w:r>
      <w:r w:rsidR="006140DD" w:rsidRPr="006140DD">
        <w:rPr>
          <w:sz w:val="22"/>
          <w:szCs w:val="22"/>
          <w:lang w:val="cs-CZ"/>
        </w:rPr>
        <w:t xml:space="preserve"> zajištění odkupu Participace </w:t>
      </w:r>
      <w:r w:rsidR="00A10C3E">
        <w:rPr>
          <w:sz w:val="22"/>
          <w:szCs w:val="22"/>
          <w:lang w:val="cs-CZ"/>
        </w:rPr>
        <w:t xml:space="preserve">takovou specializovanou </w:t>
      </w:r>
      <w:r w:rsidR="006140DD" w:rsidRPr="006140DD">
        <w:rPr>
          <w:sz w:val="22"/>
          <w:szCs w:val="22"/>
          <w:lang w:val="cs-CZ"/>
        </w:rPr>
        <w:t>třetí osobou</w:t>
      </w:r>
      <w:r w:rsidR="006140DD">
        <w:rPr>
          <w:sz w:val="22"/>
          <w:szCs w:val="22"/>
          <w:lang w:val="cs-CZ"/>
        </w:rPr>
        <w:t xml:space="preserve">. </w:t>
      </w:r>
      <w:r w:rsidR="00A10C3E" w:rsidRPr="00733C0D">
        <w:rPr>
          <w:sz w:val="22"/>
          <w:szCs w:val="22"/>
          <w:lang w:val="cs-CZ"/>
        </w:rPr>
        <w:t xml:space="preserve">Ke zpětnému odkupu Participace </w:t>
      </w:r>
      <w:r w:rsidR="00A10C3E">
        <w:rPr>
          <w:sz w:val="22"/>
          <w:szCs w:val="22"/>
          <w:lang w:val="cs-CZ"/>
        </w:rPr>
        <w:t xml:space="preserve">(tj. k postoupení všech pohledávek Investora z příslušného Úvěru zpět na </w:t>
      </w:r>
      <w:proofErr w:type="spellStart"/>
      <w:r w:rsidR="00A10C3E">
        <w:rPr>
          <w:sz w:val="22"/>
          <w:szCs w:val="22"/>
          <w:lang w:val="cs-CZ"/>
        </w:rPr>
        <w:t>Bankee</w:t>
      </w:r>
      <w:proofErr w:type="spellEnd"/>
      <w:r w:rsidR="00A10C3E">
        <w:rPr>
          <w:sz w:val="22"/>
          <w:szCs w:val="22"/>
          <w:lang w:val="cs-CZ"/>
        </w:rPr>
        <w:t xml:space="preserve"> za účelem jejich následného postoupení </w:t>
      </w:r>
      <w:r w:rsidR="000D5BC3">
        <w:rPr>
          <w:sz w:val="22"/>
          <w:szCs w:val="22"/>
          <w:lang w:val="cs-CZ"/>
        </w:rPr>
        <w:t xml:space="preserve">ze strany </w:t>
      </w:r>
      <w:proofErr w:type="spellStart"/>
      <w:r w:rsidR="000D5BC3">
        <w:rPr>
          <w:sz w:val="22"/>
          <w:szCs w:val="22"/>
          <w:lang w:val="cs-CZ"/>
        </w:rPr>
        <w:t>Bankee</w:t>
      </w:r>
      <w:proofErr w:type="spellEnd"/>
      <w:r w:rsidR="000D5BC3">
        <w:rPr>
          <w:sz w:val="22"/>
          <w:szCs w:val="22"/>
          <w:lang w:val="cs-CZ"/>
        </w:rPr>
        <w:t xml:space="preserve"> </w:t>
      </w:r>
      <w:r w:rsidR="00A10C3E">
        <w:rPr>
          <w:sz w:val="22"/>
          <w:szCs w:val="22"/>
          <w:lang w:val="cs-CZ"/>
        </w:rPr>
        <w:t xml:space="preserve">třetí osobě </w:t>
      </w:r>
      <w:r w:rsidR="00A10C3E" w:rsidRPr="006140DD">
        <w:rPr>
          <w:sz w:val="22"/>
          <w:szCs w:val="22"/>
          <w:lang w:val="cs-CZ"/>
        </w:rPr>
        <w:t>specializova</w:t>
      </w:r>
      <w:r w:rsidR="00A10C3E">
        <w:rPr>
          <w:sz w:val="22"/>
          <w:szCs w:val="22"/>
          <w:lang w:val="cs-CZ"/>
        </w:rPr>
        <w:t>né</w:t>
      </w:r>
      <w:r w:rsidR="00A10C3E" w:rsidRPr="006140DD">
        <w:rPr>
          <w:sz w:val="22"/>
          <w:szCs w:val="22"/>
          <w:lang w:val="cs-CZ"/>
        </w:rPr>
        <w:t xml:space="preserve"> na nákup a vymáhání pohledávek</w:t>
      </w:r>
      <w:r w:rsidR="00A10C3E">
        <w:rPr>
          <w:sz w:val="22"/>
          <w:szCs w:val="22"/>
          <w:lang w:val="cs-CZ"/>
        </w:rPr>
        <w:t xml:space="preserve">) dojde nejdříve </w:t>
      </w:r>
      <w:r w:rsidR="00A10C3E" w:rsidRPr="00A10C3E">
        <w:rPr>
          <w:sz w:val="22"/>
          <w:szCs w:val="22"/>
          <w:lang w:val="cs-CZ"/>
        </w:rPr>
        <w:t>po uplynutí 90denní lhůty od vzniku Splatných pohledávek</w:t>
      </w:r>
      <w:r w:rsidR="00A10C3E">
        <w:rPr>
          <w:sz w:val="22"/>
          <w:szCs w:val="22"/>
          <w:lang w:val="cs-CZ"/>
        </w:rPr>
        <w:t xml:space="preserve">, a to třetím dnem po doručení výzvy </w:t>
      </w:r>
      <w:proofErr w:type="spellStart"/>
      <w:r w:rsidR="00A10C3E" w:rsidRPr="00733C0D">
        <w:rPr>
          <w:sz w:val="22"/>
          <w:szCs w:val="22"/>
          <w:lang w:val="cs-CZ"/>
        </w:rPr>
        <w:t>Bankee</w:t>
      </w:r>
      <w:proofErr w:type="spellEnd"/>
      <w:r w:rsidR="00A10C3E" w:rsidRPr="00733C0D">
        <w:rPr>
          <w:sz w:val="22"/>
          <w:szCs w:val="22"/>
          <w:lang w:val="cs-CZ"/>
        </w:rPr>
        <w:t xml:space="preserve"> o uplatnění práva zpětného odkupu Participace </w:t>
      </w:r>
      <w:r w:rsidR="00A10C3E">
        <w:rPr>
          <w:sz w:val="22"/>
          <w:szCs w:val="22"/>
          <w:lang w:val="cs-CZ"/>
        </w:rPr>
        <w:t xml:space="preserve">za účelem jejího následného vymáhání </w:t>
      </w:r>
      <w:r w:rsidR="00A10C3E" w:rsidRPr="00733C0D">
        <w:rPr>
          <w:sz w:val="22"/>
          <w:szCs w:val="22"/>
          <w:lang w:val="cs-CZ"/>
        </w:rPr>
        <w:t>Investorovi</w:t>
      </w:r>
      <w:r w:rsidR="00A10C3E">
        <w:rPr>
          <w:sz w:val="22"/>
          <w:szCs w:val="22"/>
          <w:lang w:val="cs-CZ"/>
        </w:rPr>
        <w:t xml:space="preserve">. </w:t>
      </w:r>
      <w:r w:rsidR="00A10C3E" w:rsidRPr="00733C0D">
        <w:rPr>
          <w:sz w:val="22"/>
          <w:szCs w:val="22"/>
          <w:lang w:val="cs-CZ"/>
        </w:rPr>
        <w:t xml:space="preserve">V takovém případě </w:t>
      </w:r>
      <w:proofErr w:type="spellStart"/>
      <w:r w:rsidR="00A10C3E" w:rsidRPr="00733C0D">
        <w:rPr>
          <w:sz w:val="22"/>
          <w:szCs w:val="22"/>
          <w:lang w:val="cs-CZ"/>
        </w:rPr>
        <w:t>Bankee</w:t>
      </w:r>
      <w:proofErr w:type="spellEnd"/>
      <w:r w:rsidR="00A10C3E" w:rsidRPr="00733C0D">
        <w:rPr>
          <w:sz w:val="22"/>
          <w:szCs w:val="22"/>
          <w:lang w:val="cs-CZ"/>
        </w:rPr>
        <w:t xml:space="preserve"> uhradí Investorovi za zpětný odkup</w:t>
      </w:r>
      <w:r w:rsidR="00A10C3E">
        <w:rPr>
          <w:sz w:val="22"/>
          <w:szCs w:val="22"/>
          <w:lang w:val="cs-CZ"/>
        </w:rPr>
        <w:t xml:space="preserve"> Participace</w:t>
      </w:r>
      <w:r w:rsidR="00A10C3E" w:rsidRPr="00733C0D">
        <w:rPr>
          <w:sz w:val="22"/>
          <w:szCs w:val="22"/>
          <w:lang w:val="cs-CZ"/>
        </w:rPr>
        <w:t xml:space="preserve"> </w:t>
      </w:r>
      <w:r w:rsidR="00A10C3E" w:rsidRPr="00A10C3E">
        <w:rPr>
          <w:sz w:val="22"/>
          <w:szCs w:val="22"/>
          <w:lang w:val="cs-CZ"/>
        </w:rPr>
        <w:t xml:space="preserve">úplatu </w:t>
      </w:r>
      <w:r w:rsidR="00A10C3E" w:rsidRPr="00E615B3">
        <w:rPr>
          <w:sz w:val="22"/>
          <w:szCs w:val="22"/>
          <w:lang w:val="cs-CZ"/>
        </w:rPr>
        <w:t>odpovídající 100</w:t>
      </w:r>
      <w:r w:rsidR="00874C23" w:rsidRPr="00E615B3">
        <w:rPr>
          <w:sz w:val="22"/>
          <w:szCs w:val="22"/>
          <w:lang w:val="cs-CZ"/>
        </w:rPr>
        <w:t> </w:t>
      </w:r>
      <w:r w:rsidR="00A10C3E" w:rsidRPr="00E615B3">
        <w:rPr>
          <w:sz w:val="22"/>
          <w:szCs w:val="22"/>
          <w:lang w:val="cs-CZ"/>
        </w:rPr>
        <w:t>% nominální hodnotě Splatných pohledávek</w:t>
      </w:r>
      <w:r w:rsidR="00E615B3" w:rsidRPr="00E615B3">
        <w:rPr>
          <w:sz w:val="22"/>
          <w:szCs w:val="22"/>
          <w:lang w:val="cs-CZ"/>
        </w:rPr>
        <w:t xml:space="preserve"> </w:t>
      </w:r>
      <w:r w:rsidR="00E615B3" w:rsidRPr="00E615B3">
        <w:rPr>
          <w:sz w:val="22"/>
          <w:szCs w:val="18"/>
          <w:lang w:val="cs-CZ"/>
        </w:rPr>
        <w:t>navýšené o smluvní úrok za toto období</w:t>
      </w:r>
      <w:r w:rsidR="00A10C3E" w:rsidRPr="00E615B3">
        <w:rPr>
          <w:sz w:val="22"/>
          <w:szCs w:val="22"/>
          <w:lang w:val="cs-CZ"/>
        </w:rPr>
        <w:t xml:space="preserve"> (</w:t>
      </w:r>
      <w:r w:rsidR="00E615B3" w:rsidRPr="00E615B3">
        <w:rPr>
          <w:sz w:val="22"/>
          <w:szCs w:val="22"/>
          <w:lang w:val="cs-CZ"/>
        </w:rPr>
        <w:t>avšak bez</w:t>
      </w:r>
      <w:r w:rsidR="00A10C3E" w:rsidRPr="00E615B3">
        <w:rPr>
          <w:sz w:val="22"/>
          <w:szCs w:val="22"/>
          <w:lang w:val="cs-CZ"/>
        </w:rPr>
        <w:t xml:space="preserve"> úroků z</w:t>
      </w:r>
      <w:r w:rsidR="00830857" w:rsidRPr="00E615B3">
        <w:rPr>
          <w:sz w:val="22"/>
          <w:szCs w:val="22"/>
          <w:lang w:val="cs-CZ"/>
        </w:rPr>
        <w:t> </w:t>
      </w:r>
      <w:r w:rsidR="00A10C3E" w:rsidRPr="00E615B3">
        <w:rPr>
          <w:sz w:val="22"/>
          <w:szCs w:val="22"/>
          <w:lang w:val="cs-CZ"/>
        </w:rPr>
        <w:t>prodlení</w:t>
      </w:r>
      <w:r w:rsidR="00830857" w:rsidRPr="00E615B3">
        <w:rPr>
          <w:sz w:val="22"/>
          <w:szCs w:val="22"/>
          <w:lang w:val="cs-CZ"/>
        </w:rPr>
        <w:t>,</w:t>
      </w:r>
      <w:r w:rsidR="00A10C3E" w:rsidRPr="00E615B3">
        <w:rPr>
          <w:sz w:val="22"/>
          <w:szCs w:val="22"/>
          <w:lang w:val="cs-CZ"/>
        </w:rPr>
        <w:t xml:space="preserve"> smluvních pokut</w:t>
      </w:r>
      <w:r w:rsidR="00830857" w:rsidRPr="00E615B3">
        <w:rPr>
          <w:sz w:val="22"/>
          <w:szCs w:val="22"/>
          <w:lang w:val="cs-CZ"/>
        </w:rPr>
        <w:t xml:space="preserve"> a případného dalšího příslušenství</w:t>
      </w:r>
      <w:r w:rsidR="00A10C3E" w:rsidRPr="00E615B3">
        <w:rPr>
          <w:sz w:val="22"/>
          <w:szCs w:val="22"/>
          <w:lang w:val="cs-CZ"/>
        </w:rPr>
        <w:t xml:space="preserve">), a to nejpozději ve lhůtě </w:t>
      </w:r>
      <w:r w:rsidR="00830857" w:rsidRPr="00E615B3">
        <w:rPr>
          <w:sz w:val="22"/>
          <w:szCs w:val="22"/>
          <w:lang w:val="cs-CZ"/>
        </w:rPr>
        <w:t>uvedené</w:t>
      </w:r>
      <w:r w:rsidR="00830857">
        <w:rPr>
          <w:sz w:val="22"/>
          <w:szCs w:val="22"/>
          <w:lang w:val="cs-CZ"/>
        </w:rPr>
        <w:t xml:space="preserve"> v </w:t>
      </w:r>
      <w:r w:rsidR="00A10C3E" w:rsidRPr="00733C0D">
        <w:rPr>
          <w:sz w:val="22"/>
          <w:szCs w:val="22"/>
          <w:lang w:val="cs-CZ"/>
        </w:rPr>
        <w:t>předchozí vět</w:t>
      </w:r>
      <w:r w:rsidR="00830857">
        <w:rPr>
          <w:sz w:val="22"/>
          <w:szCs w:val="22"/>
          <w:lang w:val="cs-CZ"/>
        </w:rPr>
        <w:t>ě. N</w:t>
      </w:r>
      <w:r w:rsidR="00A10C3E">
        <w:rPr>
          <w:sz w:val="22"/>
          <w:szCs w:val="22"/>
          <w:lang w:val="cs-CZ"/>
        </w:rPr>
        <w:t xml:space="preserve">ásledně </w:t>
      </w:r>
      <w:proofErr w:type="spellStart"/>
      <w:r w:rsidR="00830857">
        <w:rPr>
          <w:sz w:val="22"/>
          <w:szCs w:val="22"/>
          <w:lang w:val="cs-CZ"/>
        </w:rPr>
        <w:t>Bankee</w:t>
      </w:r>
      <w:proofErr w:type="spellEnd"/>
      <w:r w:rsidR="00830857">
        <w:rPr>
          <w:sz w:val="22"/>
          <w:szCs w:val="22"/>
          <w:lang w:val="cs-CZ"/>
        </w:rPr>
        <w:t xml:space="preserve"> </w:t>
      </w:r>
      <w:r w:rsidR="00A10C3E">
        <w:rPr>
          <w:sz w:val="22"/>
          <w:szCs w:val="22"/>
          <w:lang w:val="cs-CZ"/>
        </w:rPr>
        <w:t>Splatné pohledávky</w:t>
      </w:r>
      <w:r w:rsidR="00830857">
        <w:rPr>
          <w:sz w:val="22"/>
          <w:szCs w:val="22"/>
          <w:lang w:val="cs-CZ"/>
        </w:rPr>
        <w:t xml:space="preserve"> postoupí třetí osobě </w:t>
      </w:r>
      <w:r w:rsidR="00830857" w:rsidRPr="006140DD">
        <w:rPr>
          <w:sz w:val="22"/>
          <w:szCs w:val="22"/>
          <w:lang w:val="cs-CZ"/>
        </w:rPr>
        <w:t>specializova</w:t>
      </w:r>
      <w:r w:rsidR="00830857">
        <w:rPr>
          <w:sz w:val="22"/>
          <w:szCs w:val="22"/>
          <w:lang w:val="cs-CZ"/>
        </w:rPr>
        <w:t xml:space="preserve">né </w:t>
      </w:r>
      <w:r w:rsidR="00830857" w:rsidRPr="006140DD">
        <w:rPr>
          <w:sz w:val="22"/>
          <w:szCs w:val="22"/>
          <w:lang w:val="cs-CZ"/>
        </w:rPr>
        <w:t>na nákup a vymáhání pohledávek</w:t>
      </w:r>
      <w:r w:rsidR="00A10C3E">
        <w:rPr>
          <w:sz w:val="22"/>
          <w:szCs w:val="22"/>
          <w:lang w:val="cs-CZ"/>
        </w:rPr>
        <w:t xml:space="preserve">. </w:t>
      </w:r>
      <w:proofErr w:type="spellStart"/>
      <w:r w:rsidR="00830857" w:rsidRPr="00733C0D">
        <w:rPr>
          <w:sz w:val="22"/>
          <w:szCs w:val="22"/>
          <w:lang w:val="cs-CZ"/>
        </w:rPr>
        <w:t>Bankee</w:t>
      </w:r>
      <w:proofErr w:type="spellEnd"/>
      <w:r w:rsidR="00830857" w:rsidRPr="00733C0D">
        <w:rPr>
          <w:sz w:val="22"/>
          <w:szCs w:val="22"/>
          <w:lang w:val="cs-CZ"/>
        </w:rPr>
        <w:t xml:space="preserve"> může t</w:t>
      </w:r>
      <w:r w:rsidR="00830857">
        <w:rPr>
          <w:sz w:val="22"/>
          <w:szCs w:val="22"/>
          <w:lang w:val="cs-CZ"/>
        </w:rPr>
        <w:t>uto výzvu</w:t>
      </w:r>
      <w:r w:rsidR="00830857" w:rsidRPr="00733C0D">
        <w:rPr>
          <w:sz w:val="22"/>
          <w:szCs w:val="22"/>
          <w:lang w:val="cs-CZ"/>
        </w:rPr>
        <w:t xml:space="preserve"> učinit prostřednictvím Platformy, písemně nebo e-mailem.</w:t>
      </w:r>
      <w:r w:rsidR="00830857">
        <w:rPr>
          <w:sz w:val="22"/>
          <w:szCs w:val="22"/>
          <w:lang w:val="cs-CZ"/>
        </w:rPr>
        <w:t xml:space="preserve"> </w:t>
      </w:r>
      <w:r w:rsidR="00830857" w:rsidRPr="00733C0D">
        <w:rPr>
          <w:sz w:val="22"/>
          <w:szCs w:val="22"/>
          <w:lang w:val="cs-CZ"/>
        </w:rPr>
        <w:t xml:space="preserve">Zároveň je </w:t>
      </w:r>
      <w:proofErr w:type="spellStart"/>
      <w:r w:rsidR="00830857" w:rsidRPr="00733C0D">
        <w:rPr>
          <w:sz w:val="22"/>
          <w:szCs w:val="22"/>
          <w:lang w:val="cs-CZ"/>
        </w:rPr>
        <w:t>Bankee</w:t>
      </w:r>
      <w:proofErr w:type="spellEnd"/>
      <w:r w:rsidR="00830857" w:rsidRPr="00733C0D">
        <w:rPr>
          <w:sz w:val="22"/>
          <w:szCs w:val="22"/>
          <w:lang w:val="cs-CZ"/>
        </w:rPr>
        <w:t xml:space="preserve"> oprávněna odstranit Investora z evidence na Platformě.</w:t>
      </w:r>
      <w:bookmarkEnd w:id="21"/>
    </w:p>
    <w:p w14:paraId="6073F488" w14:textId="157B709C" w:rsidR="003557B1" w:rsidRPr="009B5CBC" w:rsidRDefault="009B5CBC" w:rsidP="009B5CBC">
      <w:pPr>
        <w:pStyle w:val="Nadpis2"/>
        <w:rPr>
          <w:sz w:val="22"/>
          <w:szCs w:val="22"/>
          <w:lang w:val="cs-CZ"/>
        </w:rPr>
      </w:pPr>
      <w:r w:rsidRPr="009B5CBC">
        <w:rPr>
          <w:sz w:val="22"/>
          <w:szCs w:val="22"/>
          <w:lang w:val="cs-CZ"/>
        </w:rPr>
        <w:t xml:space="preserve">Investor </w:t>
      </w:r>
      <w:r w:rsidR="00E05E64">
        <w:rPr>
          <w:sz w:val="22"/>
          <w:szCs w:val="22"/>
          <w:lang w:val="cs-CZ"/>
        </w:rPr>
        <w:t>výslovně souhlasí s práv</w:t>
      </w:r>
      <w:r w:rsidR="00874C23">
        <w:rPr>
          <w:sz w:val="22"/>
          <w:szCs w:val="22"/>
          <w:lang w:val="cs-CZ"/>
        </w:rPr>
        <w:t>y</w:t>
      </w:r>
      <w:r w:rsidR="00E05E64">
        <w:rPr>
          <w:sz w:val="22"/>
          <w:szCs w:val="22"/>
          <w:lang w:val="cs-CZ"/>
        </w:rPr>
        <w:t xml:space="preserve"> </w:t>
      </w:r>
      <w:proofErr w:type="spellStart"/>
      <w:r w:rsidR="00E05E64">
        <w:rPr>
          <w:sz w:val="22"/>
          <w:szCs w:val="22"/>
          <w:lang w:val="cs-CZ"/>
        </w:rPr>
        <w:t>Bankee</w:t>
      </w:r>
      <w:proofErr w:type="spellEnd"/>
      <w:r w:rsidR="00E05E64">
        <w:rPr>
          <w:sz w:val="22"/>
          <w:szCs w:val="22"/>
          <w:lang w:val="cs-CZ"/>
        </w:rPr>
        <w:t xml:space="preserve"> na zpětný odkup Participace </w:t>
      </w:r>
      <w:r w:rsidR="00874C23">
        <w:rPr>
          <w:sz w:val="22"/>
          <w:szCs w:val="22"/>
          <w:lang w:val="cs-CZ"/>
        </w:rPr>
        <w:t xml:space="preserve">dle článků </w:t>
      </w:r>
      <w:r w:rsidR="00874C23">
        <w:rPr>
          <w:sz w:val="22"/>
          <w:szCs w:val="22"/>
          <w:lang w:val="cs-CZ"/>
        </w:rPr>
        <w:fldChar w:fldCharType="begin"/>
      </w:r>
      <w:r w:rsidR="00874C23">
        <w:rPr>
          <w:sz w:val="22"/>
          <w:szCs w:val="22"/>
          <w:lang w:val="cs-CZ"/>
        </w:rPr>
        <w:instrText xml:space="preserve"> REF _Ref216261127 \r \h </w:instrText>
      </w:r>
      <w:r w:rsidR="00874C23">
        <w:rPr>
          <w:sz w:val="22"/>
          <w:szCs w:val="22"/>
          <w:lang w:val="cs-CZ"/>
        </w:rPr>
      </w:r>
      <w:r w:rsidR="00874C23">
        <w:rPr>
          <w:sz w:val="22"/>
          <w:szCs w:val="22"/>
          <w:lang w:val="cs-CZ"/>
        </w:rPr>
        <w:fldChar w:fldCharType="separate"/>
      </w:r>
      <w:r w:rsidR="00874C23">
        <w:rPr>
          <w:sz w:val="22"/>
          <w:szCs w:val="22"/>
          <w:lang w:val="cs-CZ"/>
        </w:rPr>
        <w:t>7.2</w:t>
      </w:r>
      <w:r w:rsidR="00874C23">
        <w:rPr>
          <w:sz w:val="22"/>
          <w:szCs w:val="22"/>
          <w:lang w:val="cs-CZ"/>
        </w:rPr>
        <w:fldChar w:fldCharType="end"/>
      </w:r>
      <w:r w:rsidR="00874C23">
        <w:rPr>
          <w:sz w:val="22"/>
          <w:szCs w:val="22"/>
          <w:lang w:val="cs-CZ"/>
        </w:rPr>
        <w:t xml:space="preserve"> a </w:t>
      </w:r>
      <w:r w:rsidR="00874C23">
        <w:rPr>
          <w:sz w:val="22"/>
          <w:szCs w:val="22"/>
          <w:lang w:val="cs-CZ"/>
        </w:rPr>
        <w:fldChar w:fldCharType="begin"/>
      </w:r>
      <w:r w:rsidR="00874C23">
        <w:rPr>
          <w:sz w:val="22"/>
          <w:szCs w:val="22"/>
          <w:lang w:val="cs-CZ"/>
        </w:rPr>
        <w:instrText xml:space="preserve"> REF _Ref216263999 \r \h </w:instrText>
      </w:r>
      <w:r w:rsidR="00874C23">
        <w:rPr>
          <w:sz w:val="22"/>
          <w:szCs w:val="22"/>
          <w:lang w:val="cs-CZ"/>
        </w:rPr>
      </w:r>
      <w:r w:rsidR="00874C23">
        <w:rPr>
          <w:sz w:val="22"/>
          <w:szCs w:val="22"/>
          <w:lang w:val="cs-CZ"/>
        </w:rPr>
        <w:fldChar w:fldCharType="separate"/>
      </w:r>
      <w:r w:rsidR="00874C23">
        <w:rPr>
          <w:sz w:val="22"/>
          <w:szCs w:val="22"/>
          <w:lang w:val="cs-CZ"/>
        </w:rPr>
        <w:t>7.3</w:t>
      </w:r>
      <w:r w:rsidR="00874C23">
        <w:rPr>
          <w:sz w:val="22"/>
          <w:szCs w:val="22"/>
          <w:lang w:val="cs-CZ"/>
        </w:rPr>
        <w:fldChar w:fldCharType="end"/>
      </w:r>
      <w:r w:rsidR="00874C23">
        <w:rPr>
          <w:sz w:val="22"/>
          <w:szCs w:val="22"/>
          <w:lang w:val="cs-CZ"/>
        </w:rPr>
        <w:t xml:space="preserve"> této Rámcové smlouvy </w:t>
      </w:r>
      <w:r w:rsidR="00E05E64">
        <w:rPr>
          <w:sz w:val="22"/>
          <w:szCs w:val="22"/>
          <w:lang w:val="cs-CZ"/>
        </w:rPr>
        <w:t xml:space="preserve">a </w:t>
      </w:r>
      <w:r w:rsidRPr="009B5CBC">
        <w:rPr>
          <w:sz w:val="22"/>
          <w:szCs w:val="22"/>
          <w:lang w:val="cs-CZ"/>
        </w:rPr>
        <w:t xml:space="preserve">bere na vědomí, že </w:t>
      </w:r>
      <w:r w:rsidR="002E22B2">
        <w:rPr>
          <w:sz w:val="22"/>
          <w:szCs w:val="22"/>
          <w:lang w:val="cs-CZ"/>
        </w:rPr>
        <w:t>pro </w:t>
      </w:r>
      <w:r w:rsidRPr="009B5CBC">
        <w:rPr>
          <w:sz w:val="22"/>
          <w:szCs w:val="22"/>
          <w:lang w:val="cs-CZ"/>
        </w:rPr>
        <w:t xml:space="preserve">provedení zpětného odkupu Participace není vyžadován žádný další souhlas a že </w:t>
      </w:r>
      <w:proofErr w:type="spellStart"/>
      <w:r w:rsidRPr="009B5CBC">
        <w:rPr>
          <w:sz w:val="22"/>
          <w:szCs w:val="22"/>
          <w:lang w:val="cs-CZ"/>
        </w:rPr>
        <w:t>Bankee</w:t>
      </w:r>
      <w:proofErr w:type="spellEnd"/>
      <w:r w:rsidRPr="009B5CBC">
        <w:rPr>
          <w:sz w:val="22"/>
          <w:szCs w:val="22"/>
          <w:lang w:val="cs-CZ"/>
        </w:rPr>
        <w:t xml:space="preserve"> není povinna Participaci od Investora odkoupit</w:t>
      </w:r>
      <w:r w:rsidR="00874C23">
        <w:rPr>
          <w:sz w:val="22"/>
          <w:szCs w:val="22"/>
          <w:lang w:val="cs-CZ"/>
        </w:rPr>
        <w:t xml:space="preserve">, resp. v případě stanoveném v článku </w:t>
      </w:r>
      <w:r w:rsidR="00874C23">
        <w:rPr>
          <w:sz w:val="22"/>
          <w:szCs w:val="22"/>
          <w:lang w:val="cs-CZ"/>
        </w:rPr>
        <w:fldChar w:fldCharType="begin"/>
      </w:r>
      <w:r w:rsidR="00874C23">
        <w:rPr>
          <w:sz w:val="22"/>
          <w:szCs w:val="22"/>
          <w:lang w:val="cs-CZ"/>
        </w:rPr>
        <w:instrText xml:space="preserve"> REF _Ref216263999 \r \h </w:instrText>
      </w:r>
      <w:r w:rsidR="00874C23">
        <w:rPr>
          <w:sz w:val="22"/>
          <w:szCs w:val="22"/>
          <w:lang w:val="cs-CZ"/>
        </w:rPr>
      </w:r>
      <w:r w:rsidR="00874C23">
        <w:rPr>
          <w:sz w:val="22"/>
          <w:szCs w:val="22"/>
          <w:lang w:val="cs-CZ"/>
        </w:rPr>
        <w:fldChar w:fldCharType="separate"/>
      </w:r>
      <w:r w:rsidR="00874C23">
        <w:rPr>
          <w:sz w:val="22"/>
          <w:szCs w:val="22"/>
          <w:lang w:val="cs-CZ"/>
        </w:rPr>
        <w:t>7.3</w:t>
      </w:r>
      <w:r w:rsidR="00874C23">
        <w:rPr>
          <w:sz w:val="22"/>
          <w:szCs w:val="22"/>
          <w:lang w:val="cs-CZ"/>
        </w:rPr>
        <w:fldChar w:fldCharType="end"/>
      </w:r>
      <w:r w:rsidR="00874C23">
        <w:rPr>
          <w:sz w:val="22"/>
          <w:szCs w:val="22"/>
          <w:lang w:val="cs-CZ"/>
        </w:rPr>
        <w:t xml:space="preserve"> této Rámcové smlouvy </w:t>
      </w:r>
      <w:proofErr w:type="spellStart"/>
      <w:r w:rsidR="00874C23">
        <w:rPr>
          <w:sz w:val="22"/>
          <w:szCs w:val="22"/>
          <w:lang w:val="cs-CZ"/>
        </w:rPr>
        <w:t>Bankee</w:t>
      </w:r>
      <w:proofErr w:type="spellEnd"/>
      <w:r w:rsidR="00874C23">
        <w:rPr>
          <w:sz w:val="22"/>
          <w:szCs w:val="22"/>
          <w:lang w:val="cs-CZ"/>
        </w:rPr>
        <w:t xml:space="preserve"> k tomu vyvine maximální úsilí.</w:t>
      </w:r>
    </w:p>
    <w:p w14:paraId="73D9C140" w14:textId="6F43AF1E" w:rsidR="003557B1" w:rsidRPr="00C63D64" w:rsidRDefault="00C63D64" w:rsidP="00C63D64">
      <w:pPr>
        <w:pStyle w:val="Nadpis1"/>
        <w:rPr>
          <w:sz w:val="22"/>
          <w:szCs w:val="22"/>
          <w:lang w:val="cs-CZ"/>
        </w:rPr>
      </w:pPr>
      <w:r w:rsidRPr="00C63D64">
        <w:rPr>
          <w:sz w:val="22"/>
          <w:szCs w:val="22"/>
          <w:lang w:val="cs-CZ"/>
        </w:rPr>
        <w:t>Upozornění na rizika Participací a střet zájmů</w:t>
      </w:r>
    </w:p>
    <w:p w14:paraId="48F120AC" w14:textId="3BAFFBE2" w:rsidR="00153EBA" w:rsidRDefault="00E05E64" w:rsidP="00153EBA">
      <w:pPr>
        <w:pStyle w:val="Nadpis2"/>
        <w:rPr>
          <w:sz w:val="22"/>
          <w:szCs w:val="22"/>
          <w:lang w:val="cs-CZ"/>
        </w:rPr>
      </w:pPr>
      <w:proofErr w:type="spellStart"/>
      <w:r>
        <w:rPr>
          <w:sz w:val="22"/>
          <w:szCs w:val="22"/>
          <w:lang w:val="cs-CZ"/>
        </w:rPr>
        <w:t>Bankee</w:t>
      </w:r>
      <w:proofErr w:type="spellEnd"/>
      <w:r>
        <w:rPr>
          <w:sz w:val="22"/>
          <w:szCs w:val="22"/>
          <w:lang w:val="cs-CZ"/>
        </w:rPr>
        <w:t xml:space="preserve"> </w:t>
      </w:r>
      <w:r w:rsidRPr="00351A78">
        <w:rPr>
          <w:sz w:val="22"/>
          <w:szCs w:val="22"/>
          <w:lang w:val="cs-CZ"/>
        </w:rPr>
        <w:t xml:space="preserve">upozorňuje Investora na </w:t>
      </w:r>
      <w:r w:rsidR="00C63D64" w:rsidRPr="00351A78">
        <w:rPr>
          <w:sz w:val="22"/>
          <w:szCs w:val="22"/>
          <w:lang w:val="cs-CZ"/>
        </w:rPr>
        <w:t xml:space="preserve">rizika </w:t>
      </w:r>
      <w:r w:rsidRPr="00351A78">
        <w:rPr>
          <w:sz w:val="22"/>
          <w:szCs w:val="22"/>
          <w:lang w:val="cs-CZ"/>
        </w:rPr>
        <w:t xml:space="preserve">Participací </w:t>
      </w:r>
      <w:r w:rsidR="00C63D64" w:rsidRPr="00351A78">
        <w:rPr>
          <w:sz w:val="22"/>
          <w:szCs w:val="22"/>
          <w:lang w:val="cs-CZ"/>
        </w:rPr>
        <w:t>a střet zájmů uvedená v článku 9 Obchodních podmínek</w:t>
      </w:r>
      <w:r w:rsidRPr="00351A78">
        <w:rPr>
          <w:sz w:val="22"/>
          <w:szCs w:val="22"/>
          <w:lang w:val="cs-CZ"/>
        </w:rPr>
        <w:t xml:space="preserve"> a Investor bere Investor tyto rizika a střet zájmu na vědomí.</w:t>
      </w:r>
    </w:p>
    <w:p w14:paraId="44B47542" w14:textId="2A790E96" w:rsidR="00D615F4" w:rsidRDefault="00D615F4" w:rsidP="00D615F4">
      <w:pPr>
        <w:pStyle w:val="Nadpis1"/>
        <w:rPr>
          <w:sz w:val="22"/>
          <w:szCs w:val="22"/>
          <w:lang w:val="cs-CZ"/>
        </w:rPr>
      </w:pPr>
      <w:r w:rsidRPr="00D615F4">
        <w:rPr>
          <w:sz w:val="22"/>
          <w:szCs w:val="22"/>
          <w:lang w:val="cs-CZ"/>
        </w:rPr>
        <w:t>Oznámení změny Postavení</w:t>
      </w:r>
    </w:p>
    <w:p w14:paraId="68B7DAA9" w14:textId="31974728" w:rsidR="00D615F4" w:rsidRPr="007941D2" w:rsidRDefault="00D615F4" w:rsidP="007941D2">
      <w:pPr>
        <w:pStyle w:val="Nadpis2"/>
        <w:rPr>
          <w:sz w:val="22"/>
          <w:szCs w:val="18"/>
          <w:lang w:val="cs-CZ"/>
        </w:rPr>
      </w:pPr>
      <w:r w:rsidRPr="007941D2">
        <w:rPr>
          <w:sz w:val="22"/>
          <w:szCs w:val="18"/>
          <w:lang w:val="cs-CZ"/>
        </w:rPr>
        <w:t xml:space="preserve">Investor ke dni učinění každé Objednávky </w:t>
      </w:r>
      <w:proofErr w:type="spellStart"/>
      <w:r w:rsidRPr="007941D2">
        <w:rPr>
          <w:sz w:val="22"/>
          <w:szCs w:val="18"/>
          <w:lang w:val="cs-CZ"/>
        </w:rPr>
        <w:t>Bankee</w:t>
      </w:r>
      <w:proofErr w:type="spellEnd"/>
      <w:r w:rsidRPr="007941D2">
        <w:rPr>
          <w:sz w:val="22"/>
          <w:szCs w:val="18"/>
          <w:lang w:val="cs-CZ"/>
        </w:rPr>
        <w:t xml:space="preserve"> prohlašuje, že není politicky exponovanou osobou ve smyslu</w:t>
      </w:r>
      <w:r w:rsidR="007941D2" w:rsidRPr="007941D2">
        <w:rPr>
          <w:sz w:val="22"/>
          <w:szCs w:val="18"/>
          <w:lang w:val="cs-CZ"/>
        </w:rPr>
        <w:t xml:space="preserve"> právních předpisů proti legalizaci výnosů z trestné činnosti a financování terorismu, pokud </w:t>
      </w:r>
      <w:proofErr w:type="spellStart"/>
      <w:r w:rsidR="007941D2" w:rsidRPr="007941D2">
        <w:rPr>
          <w:sz w:val="22"/>
          <w:szCs w:val="18"/>
          <w:lang w:val="cs-CZ"/>
        </w:rPr>
        <w:t>Bankee</w:t>
      </w:r>
      <w:proofErr w:type="spellEnd"/>
      <w:r w:rsidR="007941D2" w:rsidRPr="007941D2">
        <w:rPr>
          <w:sz w:val="22"/>
          <w:szCs w:val="18"/>
          <w:lang w:val="cs-CZ"/>
        </w:rPr>
        <w:t xml:space="preserve"> prostřednictvím Platformy nebo e-mailem neoznámí opak. </w:t>
      </w:r>
      <w:r w:rsidRPr="007941D2">
        <w:rPr>
          <w:sz w:val="22"/>
          <w:szCs w:val="18"/>
          <w:lang w:val="cs-CZ"/>
        </w:rPr>
        <w:t xml:space="preserve">V případě, že </w:t>
      </w:r>
      <w:r w:rsidR="007941D2" w:rsidRPr="007941D2">
        <w:rPr>
          <w:sz w:val="22"/>
          <w:szCs w:val="18"/>
          <w:lang w:val="cs-CZ"/>
        </w:rPr>
        <w:t xml:space="preserve">se postavení </w:t>
      </w:r>
      <w:r w:rsidRPr="007941D2">
        <w:rPr>
          <w:sz w:val="22"/>
          <w:szCs w:val="18"/>
          <w:lang w:val="cs-CZ"/>
        </w:rPr>
        <w:t xml:space="preserve">Investora </w:t>
      </w:r>
      <w:r w:rsidR="007941D2" w:rsidRPr="007941D2">
        <w:rPr>
          <w:sz w:val="22"/>
          <w:szCs w:val="18"/>
          <w:lang w:val="cs-CZ"/>
        </w:rPr>
        <w:t>v průběhu doby</w:t>
      </w:r>
      <w:r w:rsidRPr="007941D2">
        <w:rPr>
          <w:sz w:val="22"/>
          <w:szCs w:val="18"/>
          <w:lang w:val="cs-CZ"/>
        </w:rPr>
        <w:t xml:space="preserve"> trvání </w:t>
      </w:r>
      <w:r w:rsidR="007941D2" w:rsidRPr="007941D2">
        <w:rPr>
          <w:sz w:val="22"/>
          <w:szCs w:val="18"/>
          <w:lang w:val="cs-CZ"/>
        </w:rPr>
        <w:t>této Rámcové s</w:t>
      </w:r>
      <w:r w:rsidRPr="007941D2">
        <w:rPr>
          <w:sz w:val="22"/>
          <w:szCs w:val="18"/>
          <w:lang w:val="cs-CZ"/>
        </w:rPr>
        <w:t>mlouvy nastane změ</w:t>
      </w:r>
      <w:r w:rsidR="007941D2" w:rsidRPr="007941D2">
        <w:rPr>
          <w:sz w:val="22"/>
          <w:szCs w:val="18"/>
          <w:lang w:val="cs-CZ"/>
        </w:rPr>
        <w:t>ní,</w:t>
      </w:r>
      <w:r w:rsidR="007941D2">
        <w:rPr>
          <w:sz w:val="22"/>
          <w:szCs w:val="18"/>
          <w:lang w:val="cs-CZ"/>
        </w:rPr>
        <w:t xml:space="preserve"> </w:t>
      </w:r>
      <w:r w:rsidRPr="007941D2">
        <w:rPr>
          <w:sz w:val="22"/>
          <w:szCs w:val="18"/>
          <w:lang w:val="cs-CZ"/>
        </w:rPr>
        <w:t xml:space="preserve">je </w:t>
      </w:r>
      <w:r w:rsidR="007941D2">
        <w:rPr>
          <w:sz w:val="22"/>
          <w:szCs w:val="18"/>
          <w:lang w:val="cs-CZ"/>
        </w:rPr>
        <w:t xml:space="preserve">Investor </w:t>
      </w:r>
      <w:r w:rsidRPr="007941D2">
        <w:rPr>
          <w:sz w:val="22"/>
          <w:szCs w:val="18"/>
          <w:lang w:val="cs-CZ"/>
        </w:rPr>
        <w:t xml:space="preserve">povinen </w:t>
      </w:r>
      <w:proofErr w:type="spellStart"/>
      <w:r w:rsidR="007941D2" w:rsidRPr="007941D2">
        <w:rPr>
          <w:sz w:val="22"/>
          <w:szCs w:val="18"/>
          <w:lang w:val="cs-CZ"/>
        </w:rPr>
        <w:t>Bankee</w:t>
      </w:r>
      <w:proofErr w:type="spellEnd"/>
      <w:r w:rsidR="007941D2" w:rsidRPr="007941D2">
        <w:rPr>
          <w:sz w:val="22"/>
          <w:szCs w:val="18"/>
          <w:lang w:val="cs-CZ"/>
        </w:rPr>
        <w:t xml:space="preserve"> </w:t>
      </w:r>
      <w:r w:rsidRPr="007941D2">
        <w:rPr>
          <w:sz w:val="22"/>
          <w:szCs w:val="18"/>
          <w:lang w:val="cs-CZ"/>
        </w:rPr>
        <w:t>o této skutečnosti bez</w:t>
      </w:r>
      <w:r w:rsidR="007941D2" w:rsidRPr="007941D2">
        <w:rPr>
          <w:sz w:val="22"/>
          <w:szCs w:val="18"/>
          <w:lang w:val="cs-CZ"/>
        </w:rPr>
        <w:t xml:space="preserve"> </w:t>
      </w:r>
      <w:r w:rsidRPr="007941D2">
        <w:rPr>
          <w:sz w:val="22"/>
          <w:szCs w:val="18"/>
          <w:lang w:val="cs-CZ"/>
        </w:rPr>
        <w:t>zbytečného odkladu informovat.</w:t>
      </w:r>
    </w:p>
    <w:p w14:paraId="356D13EF" w14:textId="03B1621B" w:rsidR="0049214F" w:rsidRPr="00351A78" w:rsidRDefault="009C3745" w:rsidP="0049214F">
      <w:pPr>
        <w:pStyle w:val="Nadpis1"/>
        <w:rPr>
          <w:sz w:val="22"/>
          <w:szCs w:val="22"/>
          <w:lang w:val="cs-CZ"/>
        </w:rPr>
      </w:pPr>
      <w:r w:rsidRPr="00351A78">
        <w:rPr>
          <w:sz w:val="22"/>
          <w:szCs w:val="22"/>
          <w:lang w:val="cs-CZ"/>
        </w:rPr>
        <w:t xml:space="preserve">Trvání a </w:t>
      </w:r>
      <w:r w:rsidR="0049214F" w:rsidRPr="00351A78">
        <w:rPr>
          <w:sz w:val="22"/>
          <w:szCs w:val="22"/>
          <w:lang w:val="cs-CZ"/>
        </w:rPr>
        <w:t>Ukončení rámcové smlouvy</w:t>
      </w:r>
    </w:p>
    <w:p w14:paraId="2F50B0DC" w14:textId="2BF78153" w:rsidR="009C3745" w:rsidRPr="00351A78" w:rsidRDefault="009C3745" w:rsidP="009C3745">
      <w:pPr>
        <w:pStyle w:val="Nadpis2"/>
        <w:numPr>
          <w:ilvl w:val="0"/>
          <w:numId w:val="0"/>
        </w:numPr>
        <w:spacing w:before="240"/>
        <w:ind w:left="709"/>
        <w:rPr>
          <w:sz w:val="22"/>
          <w:szCs w:val="22"/>
          <w:u w:val="single"/>
          <w:lang w:val="cs-CZ"/>
        </w:rPr>
      </w:pPr>
      <w:r w:rsidRPr="00351A78">
        <w:rPr>
          <w:sz w:val="22"/>
          <w:szCs w:val="22"/>
          <w:u w:val="single"/>
          <w:lang w:val="cs-CZ"/>
        </w:rPr>
        <w:t>Odstoupení od Rámcové smlouvy</w:t>
      </w:r>
    </w:p>
    <w:p w14:paraId="2520B604" w14:textId="08709986" w:rsidR="00D41197" w:rsidRPr="00351A78" w:rsidRDefault="009C3745" w:rsidP="009C3745">
      <w:pPr>
        <w:pStyle w:val="Nadpis2"/>
        <w:rPr>
          <w:sz w:val="22"/>
          <w:szCs w:val="22"/>
          <w:lang w:val="cs-CZ"/>
        </w:rPr>
      </w:pPr>
      <w:r w:rsidRPr="009C3745">
        <w:rPr>
          <w:sz w:val="22"/>
          <w:szCs w:val="22"/>
          <w:lang w:val="cs-CZ"/>
        </w:rPr>
        <w:t>Investor, který je spotřebitelem</w:t>
      </w:r>
      <w:r w:rsidRPr="00351A78">
        <w:rPr>
          <w:sz w:val="22"/>
          <w:szCs w:val="22"/>
          <w:lang w:val="cs-CZ"/>
        </w:rPr>
        <w:t xml:space="preserve">, je oprávněn od této Rámcové smlouvy odstoupit </w:t>
      </w:r>
      <w:r w:rsidR="00D41197" w:rsidRPr="00351A78">
        <w:rPr>
          <w:sz w:val="22"/>
          <w:szCs w:val="22"/>
          <w:lang w:val="cs-CZ"/>
        </w:rPr>
        <w:t xml:space="preserve">dle článku </w:t>
      </w:r>
      <w:r w:rsidR="00D615F4">
        <w:rPr>
          <w:sz w:val="22"/>
          <w:szCs w:val="22"/>
          <w:lang w:val="cs-CZ"/>
        </w:rPr>
        <w:fldChar w:fldCharType="begin"/>
      </w:r>
      <w:r w:rsidR="00D615F4">
        <w:rPr>
          <w:sz w:val="22"/>
          <w:szCs w:val="22"/>
          <w:lang w:val="cs-CZ"/>
        </w:rPr>
        <w:instrText xml:space="preserve"> REF _Ref213673694 \r \h </w:instrText>
      </w:r>
      <w:r w:rsidR="00D615F4">
        <w:rPr>
          <w:sz w:val="22"/>
          <w:szCs w:val="22"/>
          <w:lang w:val="cs-CZ"/>
        </w:rPr>
      </w:r>
      <w:r w:rsidR="00D615F4">
        <w:rPr>
          <w:sz w:val="22"/>
          <w:szCs w:val="22"/>
          <w:lang w:val="cs-CZ"/>
        </w:rPr>
        <w:fldChar w:fldCharType="separate"/>
      </w:r>
      <w:r w:rsidR="00761BC6">
        <w:rPr>
          <w:sz w:val="22"/>
          <w:szCs w:val="22"/>
          <w:lang w:val="cs-CZ"/>
        </w:rPr>
        <w:t>12.6</w:t>
      </w:r>
      <w:r w:rsidR="00D615F4">
        <w:rPr>
          <w:sz w:val="22"/>
          <w:szCs w:val="22"/>
          <w:lang w:val="cs-CZ"/>
        </w:rPr>
        <w:fldChar w:fldCharType="end"/>
      </w:r>
      <w:r w:rsidR="00D41197" w:rsidRPr="00351A78">
        <w:rPr>
          <w:sz w:val="22"/>
          <w:szCs w:val="22"/>
          <w:lang w:val="cs-CZ"/>
        </w:rPr>
        <w:t xml:space="preserve"> této Rámcové smlouvy.</w:t>
      </w:r>
    </w:p>
    <w:p w14:paraId="0A42D5FB" w14:textId="3B2B4329" w:rsidR="00D41197" w:rsidRPr="00351A78" w:rsidRDefault="00D41197" w:rsidP="00D41197">
      <w:pPr>
        <w:pStyle w:val="Nadpis2"/>
        <w:rPr>
          <w:sz w:val="22"/>
          <w:szCs w:val="22"/>
          <w:lang w:val="cs-CZ"/>
        </w:rPr>
      </w:pPr>
      <w:proofErr w:type="spellStart"/>
      <w:r w:rsidRPr="00351A78">
        <w:rPr>
          <w:sz w:val="22"/>
          <w:szCs w:val="22"/>
          <w:lang w:val="cs-CZ"/>
        </w:rPr>
        <w:t>Bankee</w:t>
      </w:r>
      <w:proofErr w:type="spellEnd"/>
      <w:r w:rsidRPr="00351A78">
        <w:rPr>
          <w:sz w:val="22"/>
          <w:szCs w:val="22"/>
          <w:lang w:val="cs-CZ"/>
        </w:rPr>
        <w:t xml:space="preserve"> je oprávněna od této Rámcové smlouvy </w:t>
      </w:r>
      <w:r w:rsidR="00E11453">
        <w:rPr>
          <w:sz w:val="22"/>
          <w:szCs w:val="22"/>
          <w:lang w:val="cs-CZ"/>
        </w:rPr>
        <w:t xml:space="preserve">odstoupit </w:t>
      </w:r>
      <w:r w:rsidRPr="00351A78">
        <w:rPr>
          <w:sz w:val="22"/>
          <w:szCs w:val="22"/>
          <w:lang w:val="cs-CZ"/>
        </w:rPr>
        <w:t xml:space="preserve">z důvodů uvedených v článku </w:t>
      </w:r>
      <w:r w:rsidR="00405519">
        <w:rPr>
          <w:sz w:val="22"/>
          <w:szCs w:val="22"/>
          <w:lang w:val="cs-CZ"/>
        </w:rPr>
        <w:t>11.2</w:t>
      </w:r>
      <w:r w:rsidR="00405519" w:rsidRPr="00351A78">
        <w:rPr>
          <w:sz w:val="22"/>
          <w:szCs w:val="22"/>
          <w:lang w:val="cs-CZ"/>
        </w:rPr>
        <w:t xml:space="preserve"> </w:t>
      </w:r>
      <w:r w:rsidRPr="00351A78">
        <w:rPr>
          <w:sz w:val="22"/>
          <w:szCs w:val="22"/>
          <w:lang w:val="cs-CZ"/>
        </w:rPr>
        <w:t>Obchodních podmínek.</w:t>
      </w:r>
    </w:p>
    <w:p w14:paraId="4850A734" w14:textId="7A17E4C5" w:rsidR="00D41197" w:rsidRPr="00351A78" w:rsidRDefault="00351A78" w:rsidP="00351A78">
      <w:pPr>
        <w:pStyle w:val="Nadpis2"/>
        <w:numPr>
          <w:ilvl w:val="0"/>
          <w:numId w:val="0"/>
        </w:numPr>
        <w:spacing w:before="240"/>
        <w:ind w:left="709"/>
        <w:rPr>
          <w:sz w:val="22"/>
          <w:szCs w:val="22"/>
          <w:u w:val="single"/>
          <w:lang w:val="cs-CZ"/>
        </w:rPr>
      </w:pPr>
      <w:r w:rsidRPr="00351A78">
        <w:rPr>
          <w:sz w:val="22"/>
          <w:szCs w:val="22"/>
          <w:u w:val="single"/>
          <w:lang w:val="cs-CZ"/>
        </w:rPr>
        <w:t>Výpověď Rámcové smlouvy</w:t>
      </w:r>
    </w:p>
    <w:p w14:paraId="46239CDE" w14:textId="1A3C617B" w:rsidR="00351A78" w:rsidRPr="003F12F1" w:rsidRDefault="00351A78" w:rsidP="00351A78">
      <w:pPr>
        <w:pStyle w:val="Nadpis2"/>
        <w:rPr>
          <w:sz w:val="22"/>
          <w:szCs w:val="22"/>
          <w:u w:val="single"/>
          <w:lang w:val="cs-CZ"/>
        </w:rPr>
      </w:pPr>
      <w:proofErr w:type="spellStart"/>
      <w:r w:rsidRPr="00351A78">
        <w:rPr>
          <w:sz w:val="22"/>
          <w:szCs w:val="22"/>
          <w:lang w:val="cs-CZ"/>
        </w:rPr>
        <w:t>Bankee</w:t>
      </w:r>
      <w:proofErr w:type="spellEnd"/>
      <w:r w:rsidRPr="00351A78">
        <w:rPr>
          <w:sz w:val="22"/>
          <w:szCs w:val="22"/>
          <w:lang w:val="cs-CZ"/>
        </w:rPr>
        <w:t xml:space="preserve"> i Investor jsou oprávněni tuto Rámcovou smlouvu vypovědět kdykoli bez uvedení důvodu vypovědět s výpověd</w:t>
      </w:r>
      <w:r w:rsidRPr="003F12F1">
        <w:rPr>
          <w:sz w:val="22"/>
          <w:szCs w:val="22"/>
          <w:lang w:val="cs-CZ"/>
        </w:rPr>
        <w:t xml:space="preserve">ní dobou </w:t>
      </w:r>
      <w:r w:rsidRPr="00CE1ADF">
        <w:rPr>
          <w:sz w:val="22"/>
          <w:szCs w:val="22"/>
          <w:lang w:val="cs-CZ"/>
        </w:rPr>
        <w:t>jednoho</w:t>
      </w:r>
      <w:r w:rsidRPr="003F12F1">
        <w:rPr>
          <w:sz w:val="22"/>
          <w:szCs w:val="22"/>
          <w:lang w:val="cs-CZ"/>
        </w:rPr>
        <w:t xml:space="preserve"> měsíce, která počíná běžet doručením výpovědi druhé smluvní straně</w:t>
      </w:r>
      <w:r w:rsidR="00B259F4" w:rsidRPr="003F12F1">
        <w:rPr>
          <w:sz w:val="22"/>
          <w:szCs w:val="22"/>
          <w:lang w:val="cs-CZ"/>
        </w:rPr>
        <w:t>.</w:t>
      </w:r>
    </w:p>
    <w:p w14:paraId="02C53D1F" w14:textId="26B02DC5" w:rsidR="00351A78" w:rsidRPr="003F12F1" w:rsidRDefault="00351A78" w:rsidP="00351A78">
      <w:pPr>
        <w:pStyle w:val="Nadpis2"/>
        <w:rPr>
          <w:sz w:val="22"/>
          <w:szCs w:val="22"/>
          <w:lang w:val="cs-CZ"/>
        </w:rPr>
      </w:pPr>
      <w:proofErr w:type="spellStart"/>
      <w:r w:rsidRPr="003F12F1">
        <w:rPr>
          <w:sz w:val="22"/>
          <w:szCs w:val="22"/>
          <w:lang w:val="cs-CZ"/>
        </w:rPr>
        <w:t>Bankee</w:t>
      </w:r>
      <w:proofErr w:type="spellEnd"/>
      <w:r w:rsidRPr="003F12F1">
        <w:rPr>
          <w:sz w:val="22"/>
          <w:szCs w:val="22"/>
          <w:lang w:val="cs-CZ"/>
        </w:rPr>
        <w:t xml:space="preserve"> je dále oprávněna tuto Rámcovou smlouvu vypovědět s okamžitou účinnosti (bez výpovědní doby) z důvodů uvedených v článku </w:t>
      </w:r>
      <w:r w:rsidR="00E11453" w:rsidRPr="003F12F1">
        <w:rPr>
          <w:sz w:val="22"/>
          <w:szCs w:val="22"/>
          <w:lang w:val="cs-CZ"/>
        </w:rPr>
        <w:t xml:space="preserve">11.2 </w:t>
      </w:r>
      <w:r w:rsidRPr="003F12F1">
        <w:rPr>
          <w:sz w:val="22"/>
          <w:szCs w:val="22"/>
          <w:lang w:val="cs-CZ"/>
        </w:rPr>
        <w:t>Obchodních podmínek.</w:t>
      </w:r>
    </w:p>
    <w:p w14:paraId="326311AC" w14:textId="647F4D4C" w:rsidR="009C3745" w:rsidRPr="003F12F1" w:rsidRDefault="009C3745" w:rsidP="00351A78">
      <w:pPr>
        <w:pStyle w:val="Nadpis2"/>
        <w:numPr>
          <w:ilvl w:val="0"/>
          <w:numId w:val="0"/>
        </w:numPr>
        <w:spacing w:before="240"/>
        <w:ind w:left="709"/>
        <w:rPr>
          <w:sz w:val="22"/>
          <w:szCs w:val="22"/>
          <w:u w:val="single"/>
          <w:lang w:val="cs-CZ"/>
        </w:rPr>
      </w:pPr>
      <w:r w:rsidRPr="003F12F1">
        <w:rPr>
          <w:sz w:val="22"/>
          <w:szCs w:val="22"/>
          <w:u w:val="single"/>
          <w:lang w:val="cs-CZ"/>
        </w:rPr>
        <w:t>Účinnost ukončení Rámcové smlouvy</w:t>
      </w:r>
    </w:p>
    <w:p w14:paraId="0AC7FF83" w14:textId="4334A8E7" w:rsidR="00351A78" w:rsidRPr="003F12F1" w:rsidRDefault="00FE64DC" w:rsidP="00351A78">
      <w:pPr>
        <w:pStyle w:val="Nadpis2"/>
        <w:rPr>
          <w:sz w:val="22"/>
          <w:szCs w:val="18"/>
          <w:lang w:val="cs-CZ"/>
        </w:rPr>
      </w:pPr>
      <w:r w:rsidRPr="003F12F1">
        <w:rPr>
          <w:sz w:val="22"/>
          <w:szCs w:val="18"/>
          <w:lang w:val="cs-CZ"/>
        </w:rPr>
        <w:t xml:space="preserve">Ukončení Rámcové smlouvy nabývá účinků doručením výpovědi a uplynutím výpovědní doby, byla-li sjednána). Výše uvedené se však neuplatní, pokud k tomuto datu Investor vlastní Participaci nebo </w:t>
      </w:r>
      <w:proofErr w:type="spellStart"/>
      <w:r w:rsidRPr="003F12F1">
        <w:rPr>
          <w:sz w:val="22"/>
          <w:szCs w:val="18"/>
          <w:lang w:val="cs-CZ"/>
        </w:rPr>
        <w:t>Bankee</w:t>
      </w:r>
      <w:proofErr w:type="spellEnd"/>
      <w:r w:rsidRPr="003F12F1">
        <w:rPr>
          <w:sz w:val="22"/>
          <w:szCs w:val="18"/>
          <w:lang w:val="cs-CZ"/>
        </w:rPr>
        <w:t xml:space="preserve"> eviduje Objednávku Investora, za kterou Investor již zaplatil </w:t>
      </w:r>
      <w:r w:rsidR="00E615B3" w:rsidRPr="003F12F1">
        <w:rPr>
          <w:sz w:val="22"/>
          <w:szCs w:val="18"/>
          <w:lang w:val="cs-CZ"/>
        </w:rPr>
        <w:t xml:space="preserve">Investovanou částku </w:t>
      </w:r>
      <w:r w:rsidRPr="003F12F1">
        <w:rPr>
          <w:sz w:val="22"/>
          <w:szCs w:val="18"/>
          <w:lang w:val="cs-CZ"/>
        </w:rPr>
        <w:t xml:space="preserve">a zároveň </w:t>
      </w:r>
      <w:proofErr w:type="spellStart"/>
      <w:r w:rsidRPr="003F12F1">
        <w:rPr>
          <w:sz w:val="22"/>
          <w:szCs w:val="18"/>
          <w:lang w:val="cs-CZ"/>
        </w:rPr>
        <w:t>Bankee</w:t>
      </w:r>
      <w:proofErr w:type="spellEnd"/>
      <w:r w:rsidRPr="003F12F1">
        <w:rPr>
          <w:sz w:val="22"/>
          <w:szCs w:val="18"/>
          <w:lang w:val="cs-CZ"/>
        </w:rPr>
        <w:t xml:space="preserve"> Objednávku neodmítla. V takovém případě Účinnosti ukončení Rámcové smlouvy nastane až </w:t>
      </w:r>
      <w:r w:rsidR="00EF550A" w:rsidRPr="003F12F1">
        <w:rPr>
          <w:sz w:val="22"/>
          <w:szCs w:val="18"/>
          <w:lang w:val="cs-CZ"/>
        </w:rPr>
        <w:t>zánikem veškerých Participací Investora.</w:t>
      </w:r>
    </w:p>
    <w:p w14:paraId="58C597A9" w14:textId="13CA05CE" w:rsidR="00EF550A" w:rsidRPr="003F12F1" w:rsidRDefault="00EF550A" w:rsidP="00EF550A">
      <w:pPr>
        <w:pStyle w:val="Nadpis2"/>
        <w:rPr>
          <w:sz w:val="22"/>
          <w:szCs w:val="18"/>
          <w:lang w:val="cs-CZ"/>
        </w:rPr>
      </w:pPr>
      <w:r w:rsidRPr="003F12F1">
        <w:rPr>
          <w:sz w:val="22"/>
          <w:szCs w:val="18"/>
          <w:lang w:val="cs-CZ"/>
        </w:rPr>
        <w:t xml:space="preserve">Od okamžiku doručení odstoupení nebo výpovědi nebude Investorovi umožněno činit Objednávky </w:t>
      </w:r>
      <w:r w:rsidR="00900D79" w:rsidRPr="003F12F1">
        <w:rPr>
          <w:sz w:val="22"/>
          <w:szCs w:val="18"/>
          <w:lang w:val="cs-CZ"/>
        </w:rPr>
        <w:t xml:space="preserve">a </w:t>
      </w:r>
      <w:r w:rsidR="00900D79" w:rsidRPr="00CE1ADF">
        <w:rPr>
          <w:sz w:val="22"/>
          <w:szCs w:val="18"/>
          <w:lang w:val="cs-CZ"/>
        </w:rPr>
        <w:t>funkce Platformy</w:t>
      </w:r>
      <w:r w:rsidRPr="00CE1ADF">
        <w:rPr>
          <w:sz w:val="22"/>
          <w:szCs w:val="18"/>
          <w:lang w:val="cs-CZ"/>
        </w:rPr>
        <w:t xml:space="preserve"> budou </w:t>
      </w:r>
      <w:r w:rsidR="00900D79" w:rsidRPr="00CE1ADF">
        <w:rPr>
          <w:sz w:val="22"/>
          <w:szCs w:val="18"/>
          <w:lang w:val="cs-CZ"/>
        </w:rPr>
        <w:t xml:space="preserve">Investorovi </w:t>
      </w:r>
      <w:r w:rsidRPr="00CE1ADF">
        <w:rPr>
          <w:sz w:val="22"/>
          <w:szCs w:val="18"/>
          <w:lang w:val="cs-CZ"/>
        </w:rPr>
        <w:t xml:space="preserve">omezeny na pasivní přehled správy </w:t>
      </w:r>
      <w:r w:rsidR="00900D79" w:rsidRPr="00CE1ADF">
        <w:rPr>
          <w:sz w:val="22"/>
          <w:szCs w:val="18"/>
          <w:lang w:val="cs-CZ"/>
        </w:rPr>
        <w:t>Participací</w:t>
      </w:r>
      <w:r w:rsidRPr="003F12F1">
        <w:rPr>
          <w:sz w:val="22"/>
          <w:szCs w:val="18"/>
          <w:lang w:val="cs-CZ"/>
        </w:rPr>
        <w:t>.</w:t>
      </w:r>
    </w:p>
    <w:p w14:paraId="45B69A46" w14:textId="0DD0B10E" w:rsidR="0068617D" w:rsidRPr="003F12F1" w:rsidRDefault="0068617D" w:rsidP="0068617D">
      <w:pPr>
        <w:pStyle w:val="Nadpis2"/>
        <w:numPr>
          <w:ilvl w:val="0"/>
          <w:numId w:val="0"/>
        </w:numPr>
        <w:spacing w:before="240"/>
        <w:ind w:left="709"/>
        <w:rPr>
          <w:sz w:val="22"/>
          <w:szCs w:val="22"/>
          <w:u w:val="single"/>
          <w:lang w:val="cs-CZ"/>
        </w:rPr>
      </w:pPr>
      <w:r w:rsidRPr="003F12F1">
        <w:rPr>
          <w:sz w:val="22"/>
          <w:szCs w:val="22"/>
          <w:u w:val="single"/>
          <w:lang w:val="cs-CZ"/>
        </w:rPr>
        <w:lastRenderedPageBreak/>
        <w:t>Úmrtí Investora</w:t>
      </w:r>
    </w:p>
    <w:p w14:paraId="5C9E31F3" w14:textId="7240AEE9" w:rsidR="0049214F" w:rsidRPr="003F12F1" w:rsidRDefault="00F26293" w:rsidP="0049214F">
      <w:pPr>
        <w:pStyle w:val="Nadpis2"/>
        <w:rPr>
          <w:sz w:val="22"/>
          <w:szCs w:val="22"/>
          <w:lang w:val="cs-CZ"/>
        </w:rPr>
      </w:pPr>
      <w:r w:rsidRPr="003F12F1">
        <w:rPr>
          <w:sz w:val="22"/>
          <w:szCs w:val="22"/>
          <w:lang w:val="cs-CZ"/>
        </w:rPr>
        <w:t xml:space="preserve">Smrtí Investora nebo jeho prohlášením za mrtvého tato Rámcová smlouva nezaniká. </w:t>
      </w:r>
      <w:r w:rsidR="0068617D" w:rsidRPr="003F12F1">
        <w:rPr>
          <w:sz w:val="22"/>
          <w:szCs w:val="22"/>
          <w:lang w:val="cs-CZ"/>
        </w:rPr>
        <w:t xml:space="preserve">V případě smrti Investora nebo jeho prohlášení za mrtvého bere Investor na vědomí a souhlasí s tím, že </w:t>
      </w:r>
      <w:proofErr w:type="spellStart"/>
      <w:r w:rsidR="0068617D" w:rsidRPr="003F12F1">
        <w:rPr>
          <w:sz w:val="22"/>
          <w:szCs w:val="22"/>
          <w:lang w:val="cs-CZ"/>
        </w:rPr>
        <w:t>Bankee</w:t>
      </w:r>
      <w:proofErr w:type="spellEnd"/>
      <w:r w:rsidR="0068617D" w:rsidRPr="003F12F1">
        <w:rPr>
          <w:sz w:val="22"/>
          <w:szCs w:val="22"/>
          <w:lang w:val="cs-CZ"/>
        </w:rPr>
        <w:t xml:space="preserve"> bude postupovat dle </w:t>
      </w:r>
      <w:r w:rsidR="00D41197" w:rsidRPr="003F12F1">
        <w:rPr>
          <w:sz w:val="22"/>
          <w:szCs w:val="22"/>
          <w:lang w:val="cs-CZ"/>
        </w:rPr>
        <w:t>článk</w:t>
      </w:r>
      <w:r w:rsidR="009E04D0" w:rsidRPr="003F12F1">
        <w:rPr>
          <w:sz w:val="22"/>
          <w:szCs w:val="22"/>
          <w:lang w:val="cs-CZ"/>
        </w:rPr>
        <w:t>ů</w:t>
      </w:r>
      <w:r w:rsidR="00D41197" w:rsidRPr="003F12F1">
        <w:rPr>
          <w:sz w:val="22"/>
          <w:szCs w:val="22"/>
          <w:lang w:val="cs-CZ"/>
        </w:rPr>
        <w:t xml:space="preserve"> </w:t>
      </w:r>
      <w:r w:rsidR="002421A1" w:rsidRPr="003F12F1">
        <w:rPr>
          <w:sz w:val="22"/>
          <w:szCs w:val="22"/>
          <w:lang w:val="cs-CZ"/>
        </w:rPr>
        <w:t xml:space="preserve">11.4 </w:t>
      </w:r>
      <w:r w:rsidR="009E04D0" w:rsidRPr="003F12F1">
        <w:rPr>
          <w:sz w:val="22"/>
          <w:szCs w:val="22"/>
          <w:lang w:val="cs-CZ"/>
        </w:rPr>
        <w:t xml:space="preserve">a 11.5 </w:t>
      </w:r>
      <w:r w:rsidR="0068617D" w:rsidRPr="003F12F1">
        <w:rPr>
          <w:sz w:val="22"/>
          <w:szCs w:val="22"/>
          <w:lang w:val="cs-CZ"/>
        </w:rPr>
        <w:t xml:space="preserve">Obchodních podmínek. </w:t>
      </w:r>
    </w:p>
    <w:p w14:paraId="4E559793" w14:textId="2B87A57B" w:rsidR="00153EBA" w:rsidRPr="003F12F1" w:rsidRDefault="00733C0D" w:rsidP="00733C0D">
      <w:pPr>
        <w:pStyle w:val="Nadpis1"/>
        <w:rPr>
          <w:sz w:val="22"/>
          <w:szCs w:val="22"/>
          <w:lang w:val="cs-CZ"/>
        </w:rPr>
      </w:pPr>
      <w:r w:rsidRPr="003F12F1">
        <w:rPr>
          <w:sz w:val="22"/>
          <w:szCs w:val="22"/>
          <w:lang w:val="cs-CZ"/>
        </w:rPr>
        <w:t xml:space="preserve">Komunikace </w:t>
      </w:r>
      <w:r w:rsidR="009B5CBC" w:rsidRPr="003F12F1">
        <w:rPr>
          <w:sz w:val="22"/>
          <w:szCs w:val="22"/>
          <w:lang w:val="cs-CZ"/>
        </w:rPr>
        <w:t>a oznamování změn</w:t>
      </w:r>
    </w:p>
    <w:p w14:paraId="388756E2" w14:textId="368313F6" w:rsidR="009B5CBC" w:rsidRPr="003F12F1" w:rsidRDefault="009B5CBC" w:rsidP="009B5CBC">
      <w:pPr>
        <w:pStyle w:val="Nadpis2"/>
        <w:rPr>
          <w:sz w:val="22"/>
          <w:szCs w:val="22"/>
          <w:lang w:val="cs-CZ"/>
        </w:rPr>
      </w:pPr>
      <w:r w:rsidRPr="003F12F1">
        <w:rPr>
          <w:sz w:val="22"/>
          <w:szCs w:val="22"/>
          <w:lang w:val="cs-CZ"/>
        </w:rPr>
        <w:t xml:space="preserve">Investor souhlasí s komunikací prostřednictvím Platformy </w:t>
      </w:r>
      <w:r w:rsidR="00621C5F" w:rsidRPr="003F12F1">
        <w:rPr>
          <w:sz w:val="22"/>
          <w:szCs w:val="22"/>
          <w:lang w:val="cs-CZ"/>
        </w:rPr>
        <w:t>nebo</w:t>
      </w:r>
      <w:r w:rsidRPr="003F12F1">
        <w:rPr>
          <w:sz w:val="22"/>
          <w:szCs w:val="22"/>
          <w:lang w:val="cs-CZ"/>
        </w:rPr>
        <w:t xml:space="preserve"> e-mail</w:t>
      </w:r>
      <w:r w:rsidR="00621C5F" w:rsidRPr="003F12F1">
        <w:rPr>
          <w:sz w:val="22"/>
          <w:szCs w:val="22"/>
          <w:lang w:val="cs-CZ"/>
        </w:rPr>
        <w:t>em</w:t>
      </w:r>
      <w:r w:rsidRPr="003F12F1">
        <w:rPr>
          <w:sz w:val="22"/>
          <w:szCs w:val="22"/>
          <w:lang w:val="cs-CZ"/>
        </w:rPr>
        <w:t xml:space="preserve"> za podmínek uvedených v článku </w:t>
      </w:r>
      <w:r w:rsidR="00BC11A2" w:rsidRPr="003F12F1">
        <w:rPr>
          <w:sz w:val="22"/>
          <w:szCs w:val="22"/>
          <w:lang w:val="cs-CZ"/>
        </w:rPr>
        <w:t>3.6</w:t>
      </w:r>
      <w:r w:rsidRPr="003F12F1">
        <w:rPr>
          <w:sz w:val="22"/>
          <w:szCs w:val="22"/>
          <w:lang w:val="cs-CZ"/>
        </w:rPr>
        <w:t xml:space="preserve"> Obchodních podmínek.</w:t>
      </w:r>
    </w:p>
    <w:p w14:paraId="078DFAB5" w14:textId="19A446EF" w:rsidR="009B5CBC" w:rsidRPr="003F12F1" w:rsidRDefault="009B5CBC" w:rsidP="009B5CBC">
      <w:pPr>
        <w:pStyle w:val="Nadpis2"/>
        <w:rPr>
          <w:sz w:val="22"/>
          <w:szCs w:val="22"/>
          <w:lang w:val="cs-CZ"/>
        </w:rPr>
      </w:pPr>
      <w:r w:rsidRPr="003F12F1">
        <w:rPr>
          <w:sz w:val="22"/>
          <w:szCs w:val="22"/>
          <w:lang w:val="cs-CZ"/>
        </w:rPr>
        <w:t xml:space="preserve">Investor bere na vědomí své informační povinnosti ve vztahu k oznamování změn údajů a postavení v rozsahu uvedeném v článku </w:t>
      </w:r>
      <w:r w:rsidR="00BC11A2" w:rsidRPr="003F12F1">
        <w:rPr>
          <w:sz w:val="22"/>
          <w:szCs w:val="22"/>
          <w:lang w:val="cs-CZ"/>
        </w:rPr>
        <w:t xml:space="preserve">4.4 </w:t>
      </w:r>
      <w:r w:rsidRPr="003F12F1">
        <w:rPr>
          <w:sz w:val="22"/>
          <w:szCs w:val="22"/>
          <w:lang w:val="cs-CZ"/>
        </w:rPr>
        <w:t>Obchodních podmínek.</w:t>
      </w:r>
    </w:p>
    <w:p w14:paraId="40118516" w14:textId="5D72925A" w:rsidR="002E22B2" w:rsidRPr="003F12F1" w:rsidRDefault="003420BC" w:rsidP="002E22B2">
      <w:pPr>
        <w:pStyle w:val="Nadpis1"/>
        <w:rPr>
          <w:sz w:val="22"/>
          <w:szCs w:val="22"/>
          <w:lang w:val="cs-CZ"/>
        </w:rPr>
      </w:pPr>
      <w:r w:rsidRPr="003F12F1">
        <w:rPr>
          <w:sz w:val="22"/>
          <w:szCs w:val="22"/>
          <w:lang w:val="cs-CZ"/>
        </w:rPr>
        <w:t>ZÁVĚREČNÁ USTANOVENÍ</w:t>
      </w:r>
    </w:p>
    <w:p w14:paraId="61A34FFF" w14:textId="50B8A53E" w:rsidR="002B0437" w:rsidRPr="003F12F1" w:rsidRDefault="00EF550A" w:rsidP="002B0437">
      <w:pPr>
        <w:pStyle w:val="Nadpis2"/>
        <w:rPr>
          <w:sz w:val="22"/>
          <w:szCs w:val="22"/>
          <w:lang w:val="cs-CZ"/>
        </w:rPr>
      </w:pPr>
      <w:r w:rsidRPr="003F12F1">
        <w:rPr>
          <w:sz w:val="22"/>
          <w:szCs w:val="22"/>
          <w:lang w:val="cs-CZ"/>
        </w:rPr>
        <w:t xml:space="preserve">Tato </w:t>
      </w:r>
      <w:r w:rsidR="002B0437" w:rsidRPr="003F12F1">
        <w:rPr>
          <w:sz w:val="22"/>
          <w:szCs w:val="22"/>
          <w:lang w:val="cs-CZ"/>
        </w:rPr>
        <w:t>Rámcová s</w:t>
      </w:r>
      <w:r w:rsidRPr="003F12F1">
        <w:rPr>
          <w:sz w:val="22"/>
          <w:szCs w:val="22"/>
          <w:lang w:val="cs-CZ"/>
        </w:rPr>
        <w:t>mlouva se uzavírá na dobu neurčitou</w:t>
      </w:r>
      <w:bookmarkStart w:id="22" w:name="_Ref213670127"/>
      <w:r w:rsidR="002B0437" w:rsidRPr="003F12F1">
        <w:rPr>
          <w:sz w:val="22"/>
          <w:szCs w:val="22"/>
          <w:lang w:val="cs-CZ"/>
        </w:rPr>
        <w:t>, je uzavírána v českém jazyce a její znění je zachyceno na trvalém nosiči dat. Aktuální znění Rámcové smlouvy je bez omezení přístupné na Platformě.</w:t>
      </w:r>
    </w:p>
    <w:p w14:paraId="6DF896B9" w14:textId="7B55E3BC" w:rsidR="00192E03" w:rsidRPr="003F12F1" w:rsidRDefault="002B0437" w:rsidP="00192E03">
      <w:pPr>
        <w:pStyle w:val="Nadpis2"/>
        <w:rPr>
          <w:sz w:val="22"/>
          <w:szCs w:val="22"/>
          <w:lang w:val="cs-CZ"/>
        </w:rPr>
      </w:pPr>
      <w:r w:rsidRPr="003F12F1">
        <w:rPr>
          <w:sz w:val="22"/>
          <w:szCs w:val="22"/>
          <w:lang w:val="cs-CZ"/>
        </w:rPr>
        <w:t xml:space="preserve">Tato Rámcová smlouva </w:t>
      </w:r>
      <w:r w:rsidR="00192E03" w:rsidRPr="003F12F1">
        <w:rPr>
          <w:sz w:val="22"/>
          <w:szCs w:val="22"/>
          <w:lang w:val="cs-CZ"/>
        </w:rPr>
        <w:t xml:space="preserve">je uzavřena prostřednictvím Platformy jako prostředku komunikace na dálku, tak, že návrh této Rámcové smlouvy byl vygenerován Platformou. Investor tento návrh Rámcové smlouvy bez výhrad přijal a </w:t>
      </w:r>
      <w:r w:rsidR="00192E03" w:rsidRPr="00CE1ADF">
        <w:rPr>
          <w:sz w:val="22"/>
          <w:szCs w:val="22"/>
          <w:lang w:val="cs-CZ"/>
        </w:rPr>
        <w:t xml:space="preserve">podepsal zadáním ověřovacího kódu, který mu prostřednictvím SMS zprávy jako Autorizační SMS kód zaslala </w:t>
      </w:r>
      <w:proofErr w:type="spellStart"/>
      <w:r w:rsidR="00192E03" w:rsidRPr="00CE1ADF">
        <w:rPr>
          <w:sz w:val="22"/>
          <w:szCs w:val="22"/>
          <w:lang w:val="cs-CZ"/>
        </w:rPr>
        <w:t>Bankee</w:t>
      </w:r>
      <w:proofErr w:type="spellEnd"/>
      <w:r w:rsidR="00192E03" w:rsidRPr="00CE1ADF">
        <w:rPr>
          <w:sz w:val="22"/>
          <w:szCs w:val="22"/>
          <w:lang w:val="cs-CZ"/>
        </w:rPr>
        <w:t xml:space="preserve"> na telefonní číslo uvedené v záhlaví této Rámcové smlouvy a stiskem tlačítka „</w:t>
      </w:r>
      <w:r w:rsidR="00192E03" w:rsidRPr="00CE1ADF">
        <w:rPr>
          <w:i/>
          <w:iCs/>
          <w:sz w:val="22"/>
          <w:szCs w:val="22"/>
          <w:lang w:val="cs-CZ"/>
        </w:rPr>
        <w:t>Schvaluji tuto rámcovou smlouvu o postoupení pohledávek (nabytí participace)</w:t>
      </w:r>
      <w:r w:rsidR="00192E03" w:rsidRPr="00CE1ADF">
        <w:rPr>
          <w:sz w:val="22"/>
          <w:szCs w:val="22"/>
          <w:lang w:val="cs-CZ"/>
        </w:rPr>
        <w:t>“ na Platformě</w:t>
      </w:r>
      <w:r w:rsidR="00192E03" w:rsidRPr="003F12F1">
        <w:rPr>
          <w:sz w:val="22"/>
          <w:szCs w:val="22"/>
          <w:lang w:val="cs-CZ"/>
        </w:rPr>
        <w:t>.</w:t>
      </w:r>
    </w:p>
    <w:p w14:paraId="0E3A55FA" w14:textId="5F8A699A" w:rsidR="002B0437" w:rsidRPr="002B0437" w:rsidRDefault="00192E03" w:rsidP="002B0437">
      <w:pPr>
        <w:pStyle w:val="Nadpis2"/>
        <w:rPr>
          <w:sz w:val="22"/>
          <w:szCs w:val="22"/>
          <w:lang w:val="cs-CZ"/>
        </w:rPr>
      </w:pPr>
      <w:r>
        <w:rPr>
          <w:sz w:val="22"/>
          <w:szCs w:val="22"/>
          <w:lang w:val="cs-CZ"/>
        </w:rPr>
        <w:t xml:space="preserve">Tato Rámcová smlouva </w:t>
      </w:r>
      <w:r w:rsidR="002B0437" w:rsidRPr="002B0437">
        <w:rPr>
          <w:sz w:val="22"/>
          <w:szCs w:val="22"/>
          <w:lang w:val="cs-CZ"/>
        </w:rPr>
        <w:t xml:space="preserve">nabývá účinnosti dnem, kdy dojde k ověření bankovního účtu </w:t>
      </w:r>
      <w:r w:rsidR="002B0437">
        <w:rPr>
          <w:sz w:val="22"/>
          <w:szCs w:val="22"/>
          <w:lang w:val="cs-CZ"/>
        </w:rPr>
        <w:t>Investora</w:t>
      </w:r>
      <w:r w:rsidR="002B0437" w:rsidRPr="002B0437">
        <w:rPr>
          <w:sz w:val="22"/>
          <w:szCs w:val="22"/>
          <w:lang w:val="cs-CZ"/>
        </w:rPr>
        <w:t xml:space="preserve"> Smlouvě způsobem dle </w:t>
      </w:r>
      <w:r w:rsidR="002B0437">
        <w:rPr>
          <w:sz w:val="22"/>
          <w:szCs w:val="22"/>
          <w:lang w:val="cs-CZ"/>
        </w:rPr>
        <w:t>článku 4 Obchodním podmínek</w:t>
      </w:r>
      <w:r w:rsidR="002B0437" w:rsidRPr="002B0437">
        <w:rPr>
          <w:sz w:val="22"/>
          <w:szCs w:val="22"/>
          <w:lang w:val="cs-CZ"/>
        </w:rPr>
        <w:t>.</w:t>
      </w:r>
    </w:p>
    <w:p w14:paraId="3C8991A4" w14:textId="75BD1822" w:rsidR="002B0437" w:rsidRDefault="002B0437" w:rsidP="002B0437">
      <w:pPr>
        <w:pStyle w:val="Nadpis2"/>
        <w:rPr>
          <w:sz w:val="22"/>
          <w:szCs w:val="22"/>
          <w:lang w:val="cs-CZ"/>
        </w:rPr>
      </w:pPr>
      <w:r w:rsidRPr="00EF550A">
        <w:rPr>
          <w:sz w:val="22"/>
          <w:szCs w:val="22"/>
          <w:lang w:val="cs-CZ"/>
        </w:rPr>
        <w:t xml:space="preserve">Tato </w:t>
      </w:r>
      <w:r>
        <w:rPr>
          <w:sz w:val="22"/>
          <w:szCs w:val="22"/>
          <w:lang w:val="cs-CZ"/>
        </w:rPr>
        <w:t>Rámcová s</w:t>
      </w:r>
      <w:r w:rsidRPr="00EF550A">
        <w:rPr>
          <w:sz w:val="22"/>
          <w:szCs w:val="22"/>
          <w:lang w:val="cs-CZ"/>
        </w:rPr>
        <w:t xml:space="preserve">mlouva </w:t>
      </w:r>
      <w:r w:rsidRPr="002B0437">
        <w:rPr>
          <w:sz w:val="22"/>
          <w:szCs w:val="22"/>
          <w:lang w:val="cs-CZ"/>
        </w:rPr>
        <w:t>může být měněna nebo doplněna pouze dodatky, které jsou uzavřeny na dálku prostřednictvím Platformy nebo v listinné formě, nevyplývá-li z Obchodních podmínek něco jiného.</w:t>
      </w:r>
    </w:p>
    <w:p w14:paraId="71B3E0C8" w14:textId="0CEEA578" w:rsidR="002B0437" w:rsidRPr="002B0437" w:rsidRDefault="002B0437" w:rsidP="002B0437">
      <w:pPr>
        <w:pStyle w:val="Nadpis2"/>
        <w:rPr>
          <w:sz w:val="22"/>
          <w:szCs w:val="22"/>
          <w:lang w:val="cs-CZ"/>
        </w:rPr>
      </w:pPr>
      <w:r w:rsidRPr="00EF550A">
        <w:rPr>
          <w:sz w:val="22"/>
          <w:szCs w:val="22"/>
          <w:lang w:val="cs-CZ"/>
        </w:rPr>
        <w:t xml:space="preserve">Tato </w:t>
      </w:r>
      <w:r>
        <w:rPr>
          <w:sz w:val="22"/>
          <w:szCs w:val="22"/>
          <w:lang w:val="cs-CZ"/>
        </w:rPr>
        <w:t>Rámcová s</w:t>
      </w:r>
      <w:r w:rsidRPr="00EF550A">
        <w:rPr>
          <w:sz w:val="22"/>
          <w:szCs w:val="22"/>
          <w:lang w:val="cs-CZ"/>
        </w:rPr>
        <w:t>mlouva</w:t>
      </w:r>
      <w:r w:rsidRPr="002B0437">
        <w:rPr>
          <w:sz w:val="22"/>
          <w:szCs w:val="22"/>
          <w:lang w:val="cs-CZ"/>
        </w:rPr>
        <w:t>, jakož i práva a povinnosti smluvních stran, se řídí právním řádem České republiky, zejména Občanských zákoníkem.</w:t>
      </w:r>
      <w:r>
        <w:rPr>
          <w:sz w:val="22"/>
          <w:szCs w:val="22"/>
          <w:lang w:val="cs-CZ"/>
        </w:rPr>
        <w:t xml:space="preserve"> Veškeré spory vyplývající z této Rámcové smlouvy </w:t>
      </w:r>
      <w:r w:rsidRPr="002B0437">
        <w:rPr>
          <w:sz w:val="22"/>
          <w:szCs w:val="22"/>
          <w:lang w:val="cs-CZ"/>
        </w:rPr>
        <w:t>budou rozhodovány s konečnou platností u věcně a místně příslušného soudu České republiky.</w:t>
      </w:r>
    </w:p>
    <w:p w14:paraId="601B2496" w14:textId="2F8CC693" w:rsidR="00D41197" w:rsidRDefault="00D41197" w:rsidP="002B0437">
      <w:pPr>
        <w:pStyle w:val="Nadpis2"/>
        <w:rPr>
          <w:sz w:val="22"/>
          <w:szCs w:val="22"/>
          <w:lang w:val="cs-CZ"/>
        </w:rPr>
      </w:pPr>
      <w:bookmarkStart w:id="23" w:name="_Ref213673694"/>
      <w:r w:rsidRPr="009C3745">
        <w:rPr>
          <w:sz w:val="22"/>
          <w:szCs w:val="22"/>
          <w:lang w:val="cs-CZ"/>
        </w:rPr>
        <w:t>Investor, který je spotřebitelem</w:t>
      </w:r>
      <w:r w:rsidRPr="00D41197">
        <w:rPr>
          <w:sz w:val="22"/>
          <w:szCs w:val="22"/>
          <w:lang w:val="cs-CZ"/>
        </w:rPr>
        <w:t>, je oprávněn od této Rámcové smlouvy odstoupit i bez uvedení důvodu ve lhůtě čtrnácti dnů od jejího uzavření. Investor</w:t>
      </w:r>
      <w:r>
        <w:rPr>
          <w:sz w:val="22"/>
          <w:szCs w:val="22"/>
          <w:lang w:val="cs-CZ"/>
        </w:rPr>
        <w:t xml:space="preserve">, který je spotřebitelem, </w:t>
      </w:r>
      <w:r w:rsidRPr="00D41197">
        <w:rPr>
          <w:sz w:val="22"/>
          <w:szCs w:val="22"/>
          <w:lang w:val="cs-CZ"/>
        </w:rPr>
        <w:t xml:space="preserve">může odstoupení od této Rámcové smlouvy zaslat podepsané a naskenované e-mailem, nebo podepsané v papírové podobě na adresu sídla </w:t>
      </w:r>
      <w:proofErr w:type="spellStart"/>
      <w:r w:rsidRPr="00D41197">
        <w:rPr>
          <w:sz w:val="22"/>
          <w:szCs w:val="22"/>
          <w:lang w:val="cs-CZ"/>
        </w:rPr>
        <w:t>Bankee</w:t>
      </w:r>
      <w:proofErr w:type="spellEnd"/>
      <w:r w:rsidRPr="00D41197">
        <w:rPr>
          <w:sz w:val="22"/>
          <w:szCs w:val="22"/>
          <w:lang w:val="cs-CZ"/>
        </w:rPr>
        <w:t xml:space="preserve">. Lhůta pro odstoupení je považována za dodrženou, pokud bylo oznámení o odstoupení odesláno </w:t>
      </w:r>
      <w:proofErr w:type="spellStart"/>
      <w:r>
        <w:rPr>
          <w:sz w:val="22"/>
          <w:szCs w:val="22"/>
          <w:lang w:val="cs-CZ"/>
        </w:rPr>
        <w:t>Bankee</w:t>
      </w:r>
      <w:proofErr w:type="spellEnd"/>
      <w:r>
        <w:rPr>
          <w:sz w:val="22"/>
          <w:szCs w:val="22"/>
          <w:lang w:val="cs-CZ"/>
        </w:rPr>
        <w:t xml:space="preserve"> </w:t>
      </w:r>
      <w:r w:rsidRPr="00D41197">
        <w:rPr>
          <w:sz w:val="22"/>
          <w:szCs w:val="22"/>
          <w:lang w:val="cs-CZ"/>
        </w:rPr>
        <w:t>v poslední den stanovené lhůty.</w:t>
      </w:r>
      <w:r>
        <w:rPr>
          <w:sz w:val="22"/>
          <w:szCs w:val="22"/>
          <w:lang w:val="cs-CZ"/>
        </w:rPr>
        <w:t xml:space="preserve"> </w:t>
      </w:r>
      <w:r w:rsidR="0041537A">
        <w:rPr>
          <w:sz w:val="22"/>
          <w:szCs w:val="22"/>
          <w:lang w:val="cs-CZ"/>
        </w:rPr>
        <w:t>P</w:t>
      </w:r>
      <w:r w:rsidRPr="00D41197">
        <w:rPr>
          <w:sz w:val="22"/>
          <w:szCs w:val="22"/>
          <w:lang w:val="cs-CZ"/>
        </w:rPr>
        <w:t xml:space="preserve">rávo Investora, který je spotřebitelem, odstoupit od této Rámcové smlouvy v souladu s § 1837 písm. a) </w:t>
      </w:r>
      <w:r>
        <w:rPr>
          <w:sz w:val="22"/>
          <w:szCs w:val="22"/>
          <w:lang w:val="cs-CZ"/>
        </w:rPr>
        <w:t>O</w:t>
      </w:r>
      <w:r w:rsidRPr="00D41197">
        <w:rPr>
          <w:sz w:val="22"/>
          <w:szCs w:val="22"/>
          <w:lang w:val="cs-CZ"/>
        </w:rPr>
        <w:t>bčanského zákoníku zaniká, pokud Investor nabyl Participaci v prvních 14 dnech od uzavření této Rámcové smlouvy.</w:t>
      </w:r>
      <w:bookmarkEnd w:id="22"/>
      <w:bookmarkEnd w:id="23"/>
    </w:p>
    <w:p w14:paraId="57C7E265" w14:textId="1C78A84B" w:rsidR="007B3C27" w:rsidRPr="0041537A" w:rsidRDefault="0041537A" w:rsidP="0041537A">
      <w:pPr>
        <w:pStyle w:val="Nadpis2"/>
        <w:rPr>
          <w:sz w:val="22"/>
          <w:szCs w:val="22"/>
          <w:lang w:val="cs-CZ"/>
        </w:rPr>
      </w:pPr>
      <w:r w:rsidRPr="0041537A">
        <w:rPr>
          <w:sz w:val="22"/>
          <w:szCs w:val="22"/>
          <w:lang w:val="cs-CZ"/>
        </w:rPr>
        <w:t xml:space="preserve">Pokud by se jakékoli ustanovení této Rámcové smlouvy stalo podle platné právní úpravy neplatným, neúčinným nebo nevymahatelným, nemá tato skutečnost vliv na platnost, účinnost ani vymahatelnost ostatních ustanovení této Rámcové smlouvy. </w:t>
      </w:r>
      <w:proofErr w:type="spellStart"/>
      <w:r w:rsidRPr="0041537A">
        <w:rPr>
          <w:sz w:val="22"/>
          <w:szCs w:val="22"/>
          <w:lang w:val="cs-CZ"/>
        </w:rPr>
        <w:t>Bankee</w:t>
      </w:r>
      <w:proofErr w:type="spellEnd"/>
      <w:r w:rsidRPr="0041537A">
        <w:rPr>
          <w:sz w:val="22"/>
          <w:szCs w:val="22"/>
          <w:lang w:val="cs-CZ"/>
        </w:rPr>
        <w:t xml:space="preserve"> a Investor se v takovém případě zavazují bez zbytečného odkladu nahradit dotčené ustanovení novým ustanovením, které bude platné, účinné a vymahatelné a jehož obsah a účel budou co nejvíce odpovídat původnímu ustanovení.</w:t>
      </w:r>
    </w:p>
    <w:sectPr w:rsidR="007B3C27" w:rsidRPr="0041537A" w:rsidSect="00E74955">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5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88B0E" w14:textId="77777777" w:rsidR="000F4720" w:rsidRDefault="000F4720">
      <w:r>
        <w:separator/>
      </w:r>
    </w:p>
  </w:endnote>
  <w:endnote w:type="continuationSeparator" w:id="0">
    <w:p w14:paraId="08C3C2FE" w14:textId="77777777" w:rsidR="000F4720" w:rsidRDefault="000F4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4971F" w14:textId="77777777" w:rsidR="00072676" w:rsidRDefault="0007267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08DC5" w14:textId="513071A5" w:rsidR="00162E3D" w:rsidRPr="00072676" w:rsidRDefault="00162E3D" w:rsidP="00072676">
    <w:pPr>
      <w:pStyle w:val="Zpat"/>
      <w:rPr>
        <w:rStyle w:val="slostrnky"/>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06151" w14:textId="4A84B3A9" w:rsidR="00162E3D" w:rsidRPr="00072676" w:rsidRDefault="00162E3D" w:rsidP="000726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175D8" w14:textId="77777777" w:rsidR="000F4720" w:rsidRDefault="000F4720">
      <w:r>
        <w:separator/>
      </w:r>
    </w:p>
  </w:footnote>
  <w:footnote w:type="continuationSeparator" w:id="0">
    <w:p w14:paraId="730DA360" w14:textId="77777777" w:rsidR="000F4720" w:rsidRDefault="000F4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2C733" w14:textId="77777777" w:rsidR="00072676" w:rsidRDefault="0007267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97C2" w14:textId="77777777" w:rsidR="00072676" w:rsidRDefault="0007267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CA417" w14:textId="77777777" w:rsidR="00072676" w:rsidRDefault="0007267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00EF"/>
    <w:multiLevelType w:val="multilevel"/>
    <w:tmpl w:val="23583216"/>
    <w:lvl w:ilvl="0">
      <w:start w:val="1"/>
      <w:numFmt w:val="decimal"/>
      <w:pStyle w:val="Level1"/>
      <w:lvlText w:val="%1"/>
      <w:lvlJc w:val="left"/>
      <w:pPr>
        <w:tabs>
          <w:tab w:val="num" w:pos="709"/>
        </w:tabs>
        <w:ind w:left="709" w:hanging="709"/>
      </w:pPr>
      <w:rPr>
        <w:rFonts w:ascii="Calibri" w:hAnsi="Calibri" w:hint="default"/>
        <w:b/>
        <w:i w:val="0"/>
        <w:sz w:val="24"/>
      </w:rPr>
    </w:lvl>
    <w:lvl w:ilvl="1">
      <w:start w:val="1"/>
      <w:numFmt w:val="decimal"/>
      <w:pStyle w:val="Level2"/>
      <w:lvlText w:val="%1.%2"/>
      <w:lvlJc w:val="left"/>
      <w:pPr>
        <w:tabs>
          <w:tab w:val="num" w:pos="709"/>
        </w:tabs>
        <w:ind w:left="709" w:hanging="709"/>
      </w:pPr>
      <w:rPr>
        <w:rFonts w:ascii="Calibri" w:hAnsi="Calibri" w:hint="default"/>
        <w:b w:val="0"/>
        <w:i w:val="0"/>
        <w:sz w:val="24"/>
      </w:rPr>
    </w:lvl>
    <w:lvl w:ilvl="2">
      <w:start w:val="1"/>
      <w:numFmt w:val="decimal"/>
      <w:pStyle w:val="Level3"/>
      <w:lvlText w:val="%1.%2.%3"/>
      <w:lvlJc w:val="left"/>
      <w:pPr>
        <w:tabs>
          <w:tab w:val="num" w:pos="1418"/>
        </w:tabs>
        <w:ind w:left="1418" w:hanging="709"/>
      </w:pPr>
      <w:rPr>
        <w:rFonts w:ascii="Calibri" w:hAnsi="Calibri" w:hint="default"/>
        <w:b w:val="0"/>
        <w:i w:val="0"/>
        <w:sz w:val="24"/>
      </w:rPr>
    </w:lvl>
    <w:lvl w:ilvl="3">
      <w:start w:val="1"/>
      <w:numFmt w:val="lowerLetter"/>
      <w:pStyle w:val="Level4"/>
      <w:lvlText w:val="(%4)"/>
      <w:lvlJc w:val="left"/>
      <w:pPr>
        <w:tabs>
          <w:tab w:val="num" w:pos="1418"/>
        </w:tabs>
        <w:ind w:left="1418" w:hanging="709"/>
      </w:pPr>
      <w:rPr>
        <w:rFonts w:ascii="Calibri" w:hAnsi="Calibri" w:hint="default"/>
        <w:b w:val="0"/>
        <w:i w:val="0"/>
        <w:sz w:val="24"/>
      </w:rPr>
    </w:lvl>
    <w:lvl w:ilvl="4">
      <w:start w:val="1"/>
      <w:numFmt w:val="none"/>
      <w:lvlText w:val=""/>
      <w:lvlJc w:val="left"/>
      <w:pPr>
        <w:tabs>
          <w:tab w:val="num" w:pos="3288"/>
        </w:tabs>
        <w:ind w:left="3288" w:hanging="567"/>
      </w:pPr>
      <w:rPr>
        <w:rFonts w:hint="default"/>
      </w:rPr>
    </w:lvl>
    <w:lvl w:ilvl="5">
      <w:start w:val="1"/>
      <w:numFmt w:val="none"/>
      <w:lvlText w:val=""/>
      <w:lvlJc w:val="left"/>
      <w:pPr>
        <w:tabs>
          <w:tab w:val="num" w:pos="3969"/>
        </w:tabs>
        <w:ind w:left="3969" w:hanging="681"/>
      </w:pPr>
      <w:rPr>
        <w:rFonts w:hint="default"/>
      </w:rPr>
    </w:lvl>
    <w:lvl w:ilvl="6">
      <w:start w:val="1"/>
      <w:numFmt w:val="none"/>
      <w:lvlText w:val=""/>
      <w:lvlJc w:val="left"/>
      <w:pPr>
        <w:tabs>
          <w:tab w:val="num" w:pos="3969"/>
        </w:tabs>
        <w:ind w:left="3969" w:hanging="681"/>
      </w:pPr>
      <w:rPr>
        <w:rFonts w:hint="default"/>
      </w:rPr>
    </w:lvl>
    <w:lvl w:ilvl="7">
      <w:start w:val="1"/>
      <w:numFmt w:val="none"/>
      <w:lvlText w:val=""/>
      <w:lvlJc w:val="left"/>
      <w:pPr>
        <w:tabs>
          <w:tab w:val="num" w:pos="3969"/>
        </w:tabs>
        <w:ind w:left="3969" w:hanging="681"/>
      </w:pPr>
      <w:rPr>
        <w:rFonts w:hint="default"/>
      </w:rPr>
    </w:lvl>
    <w:lvl w:ilvl="8">
      <w:start w:val="1"/>
      <w:numFmt w:val="none"/>
      <w:lvlText w:val=""/>
      <w:lvlJc w:val="left"/>
      <w:pPr>
        <w:tabs>
          <w:tab w:val="num" w:pos="3969"/>
        </w:tabs>
        <w:ind w:left="3969" w:hanging="681"/>
      </w:pPr>
      <w:rPr>
        <w:rFonts w:hint="default"/>
      </w:rPr>
    </w:lvl>
  </w:abstractNum>
  <w:abstractNum w:abstractNumId="1" w15:restartNumberingAfterBreak="0">
    <w:nsid w:val="1FD278D1"/>
    <w:multiLevelType w:val="hybridMultilevel"/>
    <w:tmpl w:val="6FAC8A46"/>
    <w:lvl w:ilvl="0" w:tplc="27C899DE">
      <w:start w:val="1"/>
      <w:numFmt w:val="decimal"/>
      <w:pStyle w:val="Strany"/>
      <w:lvlText w:val="(%1)"/>
      <w:lvlJc w:val="left"/>
      <w:pPr>
        <w:tabs>
          <w:tab w:val="num" w:pos="720"/>
        </w:tabs>
        <w:ind w:left="720" w:hanging="720"/>
      </w:pPr>
      <w:rPr>
        <w:rFonts w:ascii="Calibri" w:hAnsi="Calibri" w:hint="default"/>
        <w:b w:val="0"/>
        <w:i w:val="0"/>
        <w:color w:val="000000"/>
        <w:sz w:val="22"/>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3F51E9E"/>
    <w:multiLevelType w:val="hybridMultilevel"/>
    <w:tmpl w:val="011870DA"/>
    <w:lvl w:ilvl="0" w:tplc="DECE3F3E">
      <w:start w:val="1"/>
      <w:numFmt w:val="upperLetter"/>
      <w:pStyle w:val="vodnustanoven"/>
      <w:lvlText w:val="(%1)"/>
      <w:lvlJc w:val="left"/>
      <w:pPr>
        <w:tabs>
          <w:tab w:val="num" w:pos="709"/>
        </w:tabs>
        <w:ind w:left="709" w:hanging="709"/>
      </w:pPr>
      <w:rPr>
        <w:rFonts w:ascii="Calibri" w:hAnsi="Calibri" w:hint="default"/>
        <w:b w:val="0"/>
        <w:i w:val="0"/>
        <w:sz w:val="22"/>
        <w:szCs w:val="20"/>
      </w:rPr>
    </w:lvl>
    <w:lvl w:ilvl="1" w:tplc="04050017">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43B409A2"/>
    <w:multiLevelType w:val="multilevel"/>
    <w:tmpl w:val="537400B6"/>
    <w:lvl w:ilvl="0">
      <w:start w:val="1"/>
      <w:numFmt w:val="decimal"/>
      <w:pStyle w:val="Obsah5"/>
      <w:lvlText w:val="%1."/>
      <w:lvlJc w:val="left"/>
      <w:pPr>
        <w:tabs>
          <w:tab w:val="num" w:pos="709"/>
        </w:tabs>
        <w:ind w:left="709" w:hanging="709"/>
      </w:pPr>
      <w:rPr>
        <w:rFonts w:ascii="Calibri" w:hAnsi="Calibri" w:cs="Times New Roman" w:hint="default"/>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bsah6"/>
      <w:lvlText w:val="%1.%2"/>
      <w:lvlJc w:val="left"/>
      <w:pPr>
        <w:tabs>
          <w:tab w:val="num" w:pos="709"/>
        </w:tabs>
        <w:ind w:left="709" w:hanging="709"/>
      </w:pPr>
      <w:rPr>
        <w:rFonts w:ascii="Calibri" w:hAnsi="Calibri" w:cs="Times New Roman" w:hint="default"/>
        <w:b w:val="0"/>
        <w:i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Obsah7"/>
      <w:lvlText w:val="(%3)"/>
      <w:lvlJc w:val="left"/>
      <w:pPr>
        <w:tabs>
          <w:tab w:val="num" w:pos="1276"/>
        </w:tabs>
        <w:ind w:left="1276" w:hanging="567"/>
      </w:pPr>
      <w:rPr>
        <w:rFonts w:ascii="Calibri" w:hAnsi="Calibri" w:cs="Times New Roman" w:hint="default"/>
        <w:b w:val="0"/>
        <w:i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Obsah8"/>
      <w:lvlText w:val="(%4)"/>
      <w:lvlJc w:val="left"/>
      <w:pPr>
        <w:tabs>
          <w:tab w:val="num" w:pos="1647"/>
        </w:tabs>
        <w:ind w:left="1647" w:hanging="567"/>
      </w:pPr>
      <w:rPr>
        <w:rFonts w:ascii="Calibri" w:hAnsi="Calibri" w:hint="default"/>
        <w:b w:val="0"/>
        <w:i w:val="0"/>
        <w:caps w:val="0"/>
        <w:strike w:val="0"/>
        <w:dstrike w:val="0"/>
        <w:vanish w:val="0"/>
        <w:color w:val="auto"/>
        <w:spacing w:val="0"/>
        <w:w w:val="100"/>
        <w:kern w:val="0"/>
        <w:position w:val="0"/>
        <w:sz w:val="24"/>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 w15:restartNumberingAfterBreak="0">
    <w:nsid w:val="59E853CC"/>
    <w:multiLevelType w:val="multilevel"/>
    <w:tmpl w:val="BC581DE8"/>
    <w:lvl w:ilvl="0">
      <w:start w:val="1"/>
      <w:numFmt w:val="decimal"/>
      <w:pStyle w:val="Nadpis1"/>
      <w:lvlText w:val="%1."/>
      <w:lvlJc w:val="left"/>
      <w:pPr>
        <w:tabs>
          <w:tab w:val="num" w:pos="709"/>
        </w:tabs>
        <w:ind w:left="709" w:hanging="709"/>
      </w:pPr>
      <w:rPr>
        <w:rFonts w:ascii="Calibri" w:hAnsi="Calibri" w:cs="Times New Roman Bold" w:hint="default"/>
        <w:b/>
        <w:bCs/>
        <w:i w:val="0"/>
        <w:iCs w:val="0"/>
        <w:caps/>
        <w:smallCaps w:val="0"/>
        <w:strike w:val="0"/>
        <w:dstrike w:val="0"/>
        <w:noProof w:val="0"/>
        <w:snapToGrid w:val="0"/>
        <w:vanish w:val="0"/>
        <w:color w:val="auto"/>
        <w:spacing w:val="0"/>
        <w:w w:val="10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isLgl/>
      <w:lvlText w:val="%1.%2"/>
      <w:lvlJc w:val="left"/>
      <w:pPr>
        <w:tabs>
          <w:tab w:val="num" w:pos="709"/>
        </w:tabs>
        <w:ind w:left="709" w:hanging="709"/>
      </w:pPr>
      <w:rPr>
        <w:rFonts w:ascii="Calibri" w:hAnsi="Calibri" w:hint="default"/>
        <w:b w:val="0"/>
        <w:bCs w:val="0"/>
        <w:i w:val="0"/>
        <w:iCs w:val="0"/>
        <w: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Nadpis3"/>
      <w:lvlText w:val="(%3)"/>
      <w:lvlJc w:val="left"/>
      <w:pPr>
        <w:tabs>
          <w:tab w:val="num" w:pos="1418"/>
        </w:tabs>
        <w:ind w:left="1418" w:hanging="709"/>
      </w:pPr>
      <w:rPr>
        <w:rFonts w:ascii="Calibri" w:hAnsi="Calibri" w:hint="default"/>
        <w:b w:val="0"/>
        <w:bCs w:val="0"/>
        <w:i w:val="0"/>
        <w:iCs w:val="0"/>
        <w:caps w:val="0"/>
        <w:strike w:val="0"/>
        <w:dstrike w:val="0"/>
        <w:vanish w:val="0"/>
        <w:color w:val="auto"/>
        <w:spacing w:val="0"/>
        <w:w w:val="100"/>
        <w:kern w:val="0"/>
        <w:position w:val="0"/>
        <w:sz w:val="22"/>
        <w:szCs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Nadpis4"/>
      <w:lvlText w:val="(%4)"/>
      <w:lvlJc w:val="left"/>
      <w:pPr>
        <w:tabs>
          <w:tab w:val="num" w:pos="2126"/>
        </w:tabs>
        <w:ind w:left="2126" w:hanging="708"/>
      </w:pPr>
      <w:rPr>
        <w:rFonts w:ascii="Calibri" w:hAnsi="Calibri" w:hint="default"/>
        <w:b w:val="0"/>
        <w:bCs w:val="0"/>
        <w:i w:val="0"/>
        <w:iCs w:val="0"/>
        <w: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Nadpis5"/>
      <w:lvlText w:val="(%5)"/>
      <w:lvlJc w:val="left"/>
      <w:pPr>
        <w:tabs>
          <w:tab w:val="num" w:pos="2126"/>
        </w:tabs>
        <w:ind w:left="2126" w:hanging="708"/>
      </w:pPr>
      <w:rPr>
        <w:rFonts w:ascii="Calibri" w:hAnsi="Calibri" w:hint="default"/>
        <w:b w:val="0"/>
        <w:i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Nadpis6"/>
      <w:lvlText w:val=""/>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Nadpis7"/>
      <w:lvlText w:val=""/>
      <w:lvlJc w:val="left"/>
      <w:pPr>
        <w:tabs>
          <w:tab w:val="num" w:pos="4680"/>
        </w:tabs>
        <w:ind w:left="4320" w:firstLine="0"/>
      </w:pPr>
      <w:rPr>
        <w:rFonts w:hint="default"/>
        <w:color w:val="0000FF"/>
        <w:spacing w:val="0"/>
        <w:u w:val="double"/>
      </w:rPr>
    </w:lvl>
    <w:lvl w:ilvl="7">
      <w:start w:val="1"/>
      <w:numFmt w:val="none"/>
      <w:pStyle w:val="Nadpis8"/>
      <w:lvlText w:val=""/>
      <w:lvlJc w:val="left"/>
      <w:pPr>
        <w:tabs>
          <w:tab w:val="num" w:pos="5400"/>
        </w:tabs>
        <w:ind w:left="5040" w:firstLine="0"/>
      </w:pPr>
      <w:rPr>
        <w:rFonts w:hint="default"/>
        <w:color w:val="0000FF"/>
        <w:spacing w:val="0"/>
        <w:u w:val="double"/>
      </w:rPr>
    </w:lvl>
    <w:lvl w:ilvl="8">
      <w:start w:val="1"/>
      <w:numFmt w:val="none"/>
      <w:pStyle w:val="Nadpis9"/>
      <w:lvlText w:val=""/>
      <w:lvlJc w:val="left"/>
      <w:pPr>
        <w:tabs>
          <w:tab w:val="num" w:pos="6120"/>
        </w:tabs>
        <w:ind w:left="5760" w:firstLine="0"/>
      </w:pPr>
      <w:rPr>
        <w:rFonts w:hint="default"/>
        <w:color w:val="0000FF"/>
        <w:spacing w:val="0"/>
        <w:u w:val="double"/>
      </w:rPr>
    </w:lvl>
  </w:abstractNum>
  <w:num w:numId="1" w16cid:durableId="1694921377">
    <w:abstractNumId w:val="0"/>
  </w:num>
  <w:num w:numId="2" w16cid:durableId="1543665728">
    <w:abstractNumId w:val="1"/>
  </w:num>
  <w:num w:numId="3" w16cid:durableId="188303675">
    <w:abstractNumId w:val="2"/>
  </w:num>
  <w:num w:numId="4" w16cid:durableId="1864124653">
    <w:abstractNumId w:val="3"/>
  </w:num>
  <w:num w:numId="5" w16cid:durableId="436369521">
    <w:abstractNumId w:val="4"/>
  </w:num>
  <w:num w:numId="6" w16cid:durableId="1891334388">
    <w:abstractNumId w:val="4"/>
  </w:num>
  <w:num w:numId="7" w16cid:durableId="138139987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946"/>
    <w:rsid w:val="00005F5F"/>
    <w:rsid w:val="000066F2"/>
    <w:rsid w:val="00006D31"/>
    <w:rsid w:val="00006E0B"/>
    <w:rsid w:val="000070BF"/>
    <w:rsid w:val="00007F49"/>
    <w:rsid w:val="00010BF1"/>
    <w:rsid w:val="00013372"/>
    <w:rsid w:val="0001488E"/>
    <w:rsid w:val="00014C39"/>
    <w:rsid w:val="0002396C"/>
    <w:rsid w:val="000239AB"/>
    <w:rsid w:val="00025325"/>
    <w:rsid w:val="000263C2"/>
    <w:rsid w:val="00035F83"/>
    <w:rsid w:val="000401ED"/>
    <w:rsid w:val="000435F5"/>
    <w:rsid w:val="00050E96"/>
    <w:rsid w:val="00053339"/>
    <w:rsid w:val="000566B5"/>
    <w:rsid w:val="00062221"/>
    <w:rsid w:val="000634EB"/>
    <w:rsid w:val="00065085"/>
    <w:rsid w:val="00065133"/>
    <w:rsid w:val="00065F2C"/>
    <w:rsid w:val="00066E3C"/>
    <w:rsid w:val="000674A7"/>
    <w:rsid w:val="000676D5"/>
    <w:rsid w:val="0006778B"/>
    <w:rsid w:val="00072586"/>
    <w:rsid w:val="00072676"/>
    <w:rsid w:val="00072F95"/>
    <w:rsid w:val="00073D9D"/>
    <w:rsid w:val="0008301E"/>
    <w:rsid w:val="0008331A"/>
    <w:rsid w:val="00084D15"/>
    <w:rsid w:val="0008522B"/>
    <w:rsid w:val="0008583E"/>
    <w:rsid w:val="00085914"/>
    <w:rsid w:val="00087503"/>
    <w:rsid w:val="00087DEB"/>
    <w:rsid w:val="0009476D"/>
    <w:rsid w:val="00095163"/>
    <w:rsid w:val="0009578C"/>
    <w:rsid w:val="00096919"/>
    <w:rsid w:val="000A27E8"/>
    <w:rsid w:val="000A28EC"/>
    <w:rsid w:val="000A4456"/>
    <w:rsid w:val="000A48D1"/>
    <w:rsid w:val="000A50C3"/>
    <w:rsid w:val="000A541E"/>
    <w:rsid w:val="000B2499"/>
    <w:rsid w:val="000B36AF"/>
    <w:rsid w:val="000B56C1"/>
    <w:rsid w:val="000B5953"/>
    <w:rsid w:val="000C2805"/>
    <w:rsid w:val="000C30F8"/>
    <w:rsid w:val="000C57BA"/>
    <w:rsid w:val="000C77C9"/>
    <w:rsid w:val="000D5918"/>
    <w:rsid w:val="000D5BC3"/>
    <w:rsid w:val="000E06DD"/>
    <w:rsid w:val="000E3C51"/>
    <w:rsid w:val="000E3D40"/>
    <w:rsid w:val="000E7305"/>
    <w:rsid w:val="000F2876"/>
    <w:rsid w:val="000F46A2"/>
    <w:rsid w:val="000F4720"/>
    <w:rsid w:val="001010F4"/>
    <w:rsid w:val="00101653"/>
    <w:rsid w:val="00101C2B"/>
    <w:rsid w:val="001027FE"/>
    <w:rsid w:val="0010524B"/>
    <w:rsid w:val="00106DF5"/>
    <w:rsid w:val="001072C4"/>
    <w:rsid w:val="0011144D"/>
    <w:rsid w:val="001116E0"/>
    <w:rsid w:val="001134E6"/>
    <w:rsid w:val="00117FD5"/>
    <w:rsid w:val="001200F0"/>
    <w:rsid w:val="00120720"/>
    <w:rsid w:val="00120F45"/>
    <w:rsid w:val="0012218A"/>
    <w:rsid w:val="00122451"/>
    <w:rsid w:val="00122817"/>
    <w:rsid w:val="00126A33"/>
    <w:rsid w:val="00130301"/>
    <w:rsid w:val="00131449"/>
    <w:rsid w:val="001419E6"/>
    <w:rsid w:val="0014443F"/>
    <w:rsid w:val="00151B86"/>
    <w:rsid w:val="001531E7"/>
    <w:rsid w:val="0015384B"/>
    <w:rsid w:val="00153EBA"/>
    <w:rsid w:val="00154147"/>
    <w:rsid w:val="00160800"/>
    <w:rsid w:val="00161914"/>
    <w:rsid w:val="00162E3D"/>
    <w:rsid w:val="001630D0"/>
    <w:rsid w:val="001635C6"/>
    <w:rsid w:val="0016428D"/>
    <w:rsid w:val="00167269"/>
    <w:rsid w:val="00167516"/>
    <w:rsid w:val="001705FE"/>
    <w:rsid w:val="00170D32"/>
    <w:rsid w:val="00173A3D"/>
    <w:rsid w:val="00177509"/>
    <w:rsid w:val="001868FD"/>
    <w:rsid w:val="00192E03"/>
    <w:rsid w:val="001944E7"/>
    <w:rsid w:val="00195DCE"/>
    <w:rsid w:val="001A21C9"/>
    <w:rsid w:val="001A352F"/>
    <w:rsid w:val="001B1032"/>
    <w:rsid w:val="001B136E"/>
    <w:rsid w:val="001B3293"/>
    <w:rsid w:val="001B623A"/>
    <w:rsid w:val="001B6C46"/>
    <w:rsid w:val="001B76C2"/>
    <w:rsid w:val="001C3D2B"/>
    <w:rsid w:val="001C455E"/>
    <w:rsid w:val="001C5546"/>
    <w:rsid w:val="001D00BF"/>
    <w:rsid w:val="001D450B"/>
    <w:rsid w:val="001D544C"/>
    <w:rsid w:val="001E2ADB"/>
    <w:rsid w:val="001E33AC"/>
    <w:rsid w:val="001E6A4F"/>
    <w:rsid w:val="001E6BA7"/>
    <w:rsid w:val="001F08D8"/>
    <w:rsid w:val="001F58EC"/>
    <w:rsid w:val="0020053C"/>
    <w:rsid w:val="002010F0"/>
    <w:rsid w:val="002026BC"/>
    <w:rsid w:val="0020484E"/>
    <w:rsid w:val="002065CF"/>
    <w:rsid w:val="0020660F"/>
    <w:rsid w:val="002113A9"/>
    <w:rsid w:val="00217668"/>
    <w:rsid w:val="00223A2D"/>
    <w:rsid w:val="00223CA4"/>
    <w:rsid w:val="00225F0A"/>
    <w:rsid w:val="00225FAE"/>
    <w:rsid w:val="0022601C"/>
    <w:rsid w:val="002323DA"/>
    <w:rsid w:val="002329E1"/>
    <w:rsid w:val="002370FC"/>
    <w:rsid w:val="00241C2B"/>
    <w:rsid w:val="002421A1"/>
    <w:rsid w:val="00245C61"/>
    <w:rsid w:val="00246415"/>
    <w:rsid w:val="00250B36"/>
    <w:rsid w:val="00260C6A"/>
    <w:rsid w:val="0026120B"/>
    <w:rsid w:val="00265EFF"/>
    <w:rsid w:val="0026705D"/>
    <w:rsid w:val="00270C82"/>
    <w:rsid w:val="002724A4"/>
    <w:rsid w:val="0027339B"/>
    <w:rsid w:val="00273F73"/>
    <w:rsid w:val="00275327"/>
    <w:rsid w:val="00275AB9"/>
    <w:rsid w:val="002774C2"/>
    <w:rsid w:val="00280B05"/>
    <w:rsid w:val="002819CD"/>
    <w:rsid w:val="00283290"/>
    <w:rsid w:val="002848E6"/>
    <w:rsid w:val="00286837"/>
    <w:rsid w:val="00287DD5"/>
    <w:rsid w:val="002A0249"/>
    <w:rsid w:val="002A06B4"/>
    <w:rsid w:val="002A111D"/>
    <w:rsid w:val="002A190B"/>
    <w:rsid w:val="002A1DC6"/>
    <w:rsid w:val="002A3100"/>
    <w:rsid w:val="002A37B1"/>
    <w:rsid w:val="002A45BD"/>
    <w:rsid w:val="002A52B6"/>
    <w:rsid w:val="002B0437"/>
    <w:rsid w:val="002B6D79"/>
    <w:rsid w:val="002B6DCC"/>
    <w:rsid w:val="002C1B24"/>
    <w:rsid w:val="002C2D1E"/>
    <w:rsid w:val="002C3586"/>
    <w:rsid w:val="002C62AE"/>
    <w:rsid w:val="002C72E6"/>
    <w:rsid w:val="002D33B2"/>
    <w:rsid w:val="002D4603"/>
    <w:rsid w:val="002D5B1A"/>
    <w:rsid w:val="002D5E2E"/>
    <w:rsid w:val="002D6818"/>
    <w:rsid w:val="002E085E"/>
    <w:rsid w:val="002E0F9F"/>
    <w:rsid w:val="002E19D9"/>
    <w:rsid w:val="002E22B2"/>
    <w:rsid w:val="002E22F5"/>
    <w:rsid w:val="002E3CE8"/>
    <w:rsid w:val="002E6C78"/>
    <w:rsid w:val="002E7E1F"/>
    <w:rsid w:val="002E7FFB"/>
    <w:rsid w:val="002F3D53"/>
    <w:rsid w:val="002F5268"/>
    <w:rsid w:val="002F7C44"/>
    <w:rsid w:val="002F7EFC"/>
    <w:rsid w:val="00301138"/>
    <w:rsid w:val="0030394B"/>
    <w:rsid w:val="00304CE1"/>
    <w:rsid w:val="00307DDB"/>
    <w:rsid w:val="0031129D"/>
    <w:rsid w:val="00313BBB"/>
    <w:rsid w:val="00315BF4"/>
    <w:rsid w:val="00315CDA"/>
    <w:rsid w:val="003163DF"/>
    <w:rsid w:val="0032048D"/>
    <w:rsid w:val="003211F2"/>
    <w:rsid w:val="00323BF0"/>
    <w:rsid w:val="00324565"/>
    <w:rsid w:val="003266B7"/>
    <w:rsid w:val="00330A55"/>
    <w:rsid w:val="00331A0B"/>
    <w:rsid w:val="00332A49"/>
    <w:rsid w:val="00334907"/>
    <w:rsid w:val="00335340"/>
    <w:rsid w:val="0033597E"/>
    <w:rsid w:val="00335BDE"/>
    <w:rsid w:val="003405D8"/>
    <w:rsid w:val="003406D5"/>
    <w:rsid w:val="003420BC"/>
    <w:rsid w:val="003422C3"/>
    <w:rsid w:val="003430A5"/>
    <w:rsid w:val="0034336F"/>
    <w:rsid w:val="00343B67"/>
    <w:rsid w:val="00344CAF"/>
    <w:rsid w:val="003479A0"/>
    <w:rsid w:val="00350E9A"/>
    <w:rsid w:val="00351A78"/>
    <w:rsid w:val="003533D8"/>
    <w:rsid w:val="003557B1"/>
    <w:rsid w:val="00356CFF"/>
    <w:rsid w:val="003578EA"/>
    <w:rsid w:val="00357BCC"/>
    <w:rsid w:val="0036132A"/>
    <w:rsid w:val="00361AAF"/>
    <w:rsid w:val="00362543"/>
    <w:rsid w:val="00362A30"/>
    <w:rsid w:val="00366C57"/>
    <w:rsid w:val="00370224"/>
    <w:rsid w:val="0037075E"/>
    <w:rsid w:val="00370AA3"/>
    <w:rsid w:val="003722A9"/>
    <w:rsid w:val="00375CED"/>
    <w:rsid w:val="00375ED2"/>
    <w:rsid w:val="0038412A"/>
    <w:rsid w:val="00384BE0"/>
    <w:rsid w:val="00385CD5"/>
    <w:rsid w:val="00386E2A"/>
    <w:rsid w:val="00391FA6"/>
    <w:rsid w:val="00393C10"/>
    <w:rsid w:val="00394B88"/>
    <w:rsid w:val="00395DDD"/>
    <w:rsid w:val="003A2064"/>
    <w:rsid w:val="003A37E7"/>
    <w:rsid w:val="003A4218"/>
    <w:rsid w:val="003A61D7"/>
    <w:rsid w:val="003A62F6"/>
    <w:rsid w:val="003A6634"/>
    <w:rsid w:val="003B20E0"/>
    <w:rsid w:val="003B2DDA"/>
    <w:rsid w:val="003B3153"/>
    <w:rsid w:val="003B3337"/>
    <w:rsid w:val="003B4862"/>
    <w:rsid w:val="003B7412"/>
    <w:rsid w:val="003C4944"/>
    <w:rsid w:val="003D1A01"/>
    <w:rsid w:val="003D34C1"/>
    <w:rsid w:val="003D45C4"/>
    <w:rsid w:val="003D5F16"/>
    <w:rsid w:val="003D6990"/>
    <w:rsid w:val="003F0B95"/>
    <w:rsid w:val="003F12F1"/>
    <w:rsid w:val="003F1452"/>
    <w:rsid w:val="003F4472"/>
    <w:rsid w:val="003F589C"/>
    <w:rsid w:val="003F5B98"/>
    <w:rsid w:val="00404BD0"/>
    <w:rsid w:val="00405519"/>
    <w:rsid w:val="0040554C"/>
    <w:rsid w:val="00405716"/>
    <w:rsid w:val="004070B7"/>
    <w:rsid w:val="00407C3D"/>
    <w:rsid w:val="00412740"/>
    <w:rsid w:val="004130F6"/>
    <w:rsid w:val="0041537A"/>
    <w:rsid w:val="0042022C"/>
    <w:rsid w:val="004203D0"/>
    <w:rsid w:val="004215AA"/>
    <w:rsid w:val="004229A3"/>
    <w:rsid w:val="004252FF"/>
    <w:rsid w:val="00427D27"/>
    <w:rsid w:val="0043010C"/>
    <w:rsid w:val="004337E5"/>
    <w:rsid w:val="00434738"/>
    <w:rsid w:val="004351AF"/>
    <w:rsid w:val="004455A9"/>
    <w:rsid w:val="0045072F"/>
    <w:rsid w:val="004536B3"/>
    <w:rsid w:val="00453D25"/>
    <w:rsid w:val="00456E76"/>
    <w:rsid w:val="00461048"/>
    <w:rsid w:val="00461B3D"/>
    <w:rsid w:val="00462302"/>
    <w:rsid w:val="00462669"/>
    <w:rsid w:val="00462E3B"/>
    <w:rsid w:val="00464AE4"/>
    <w:rsid w:val="00465886"/>
    <w:rsid w:val="00466E20"/>
    <w:rsid w:val="00467AA0"/>
    <w:rsid w:val="00467DD7"/>
    <w:rsid w:val="00470341"/>
    <w:rsid w:val="00470E31"/>
    <w:rsid w:val="004714A6"/>
    <w:rsid w:val="004721A5"/>
    <w:rsid w:val="004737E6"/>
    <w:rsid w:val="00475B28"/>
    <w:rsid w:val="004769F0"/>
    <w:rsid w:val="004840EF"/>
    <w:rsid w:val="00484209"/>
    <w:rsid w:val="00487724"/>
    <w:rsid w:val="00487773"/>
    <w:rsid w:val="0049136E"/>
    <w:rsid w:val="0049214F"/>
    <w:rsid w:val="00495001"/>
    <w:rsid w:val="00495240"/>
    <w:rsid w:val="00496333"/>
    <w:rsid w:val="004A264D"/>
    <w:rsid w:val="004A39C5"/>
    <w:rsid w:val="004A3D49"/>
    <w:rsid w:val="004A3E21"/>
    <w:rsid w:val="004A4DC7"/>
    <w:rsid w:val="004A75B8"/>
    <w:rsid w:val="004C57E9"/>
    <w:rsid w:val="004C5A4D"/>
    <w:rsid w:val="004C71CD"/>
    <w:rsid w:val="004C7C0F"/>
    <w:rsid w:val="004D0ED4"/>
    <w:rsid w:val="004D29BA"/>
    <w:rsid w:val="004D3514"/>
    <w:rsid w:val="004E103E"/>
    <w:rsid w:val="004E1714"/>
    <w:rsid w:val="004F0B82"/>
    <w:rsid w:val="004F4459"/>
    <w:rsid w:val="004F5760"/>
    <w:rsid w:val="004F5E5C"/>
    <w:rsid w:val="004F718A"/>
    <w:rsid w:val="00501098"/>
    <w:rsid w:val="005026D2"/>
    <w:rsid w:val="00502A13"/>
    <w:rsid w:val="005048F8"/>
    <w:rsid w:val="00505B5D"/>
    <w:rsid w:val="005065C6"/>
    <w:rsid w:val="00510413"/>
    <w:rsid w:val="00517BB5"/>
    <w:rsid w:val="005233D0"/>
    <w:rsid w:val="0052599B"/>
    <w:rsid w:val="005306ED"/>
    <w:rsid w:val="00532B73"/>
    <w:rsid w:val="0053402A"/>
    <w:rsid w:val="00535AE0"/>
    <w:rsid w:val="00536527"/>
    <w:rsid w:val="00537184"/>
    <w:rsid w:val="00540291"/>
    <w:rsid w:val="005438AF"/>
    <w:rsid w:val="00544D5E"/>
    <w:rsid w:val="00545EAF"/>
    <w:rsid w:val="005461AC"/>
    <w:rsid w:val="00547CCC"/>
    <w:rsid w:val="00551D7D"/>
    <w:rsid w:val="00553886"/>
    <w:rsid w:val="00555A2F"/>
    <w:rsid w:val="00560F32"/>
    <w:rsid w:val="00567B7B"/>
    <w:rsid w:val="00570D8D"/>
    <w:rsid w:val="00573DAF"/>
    <w:rsid w:val="005742EB"/>
    <w:rsid w:val="0057676B"/>
    <w:rsid w:val="0057727A"/>
    <w:rsid w:val="00580D5B"/>
    <w:rsid w:val="00583706"/>
    <w:rsid w:val="00584AC1"/>
    <w:rsid w:val="0059574C"/>
    <w:rsid w:val="00595A57"/>
    <w:rsid w:val="00596F17"/>
    <w:rsid w:val="005B0E91"/>
    <w:rsid w:val="005B3DBA"/>
    <w:rsid w:val="005B3F97"/>
    <w:rsid w:val="005C1D4A"/>
    <w:rsid w:val="005C456F"/>
    <w:rsid w:val="005C51D9"/>
    <w:rsid w:val="005C70E0"/>
    <w:rsid w:val="005D28F4"/>
    <w:rsid w:val="005D4FED"/>
    <w:rsid w:val="005D52EE"/>
    <w:rsid w:val="005E3B7E"/>
    <w:rsid w:val="005E4533"/>
    <w:rsid w:val="005E600A"/>
    <w:rsid w:val="005F2160"/>
    <w:rsid w:val="005F263F"/>
    <w:rsid w:val="005F3F8C"/>
    <w:rsid w:val="005F75CA"/>
    <w:rsid w:val="005F78A0"/>
    <w:rsid w:val="006038F3"/>
    <w:rsid w:val="00605D86"/>
    <w:rsid w:val="00606103"/>
    <w:rsid w:val="0060742B"/>
    <w:rsid w:val="00612299"/>
    <w:rsid w:val="00612A84"/>
    <w:rsid w:val="006140DD"/>
    <w:rsid w:val="00621761"/>
    <w:rsid w:val="00621C5F"/>
    <w:rsid w:val="00622723"/>
    <w:rsid w:val="00624ABF"/>
    <w:rsid w:val="00624D15"/>
    <w:rsid w:val="00627633"/>
    <w:rsid w:val="00631D34"/>
    <w:rsid w:val="00633E91"/>
    <w:rsid w:val="0063427A"/>
    <w:rsid w:val="00635E1C"/>
    <w:rsid w:val="006379AA"/>
    <w:rsid w:val="00645048"/>
    <w:rsid w:val="00647294"/>
    <w:rsid w:val="00650D40"/>
    <w:rsid w:val="006612B6"/>
    <w:rsid w:val="006646AF"/>
    <w:rsid w:val="006665BB"/>
    <w:rsid w:val="006676AE"/>
    <w:rsid w:val="00667BA2"/>
    <w:rsid w:val="00672F1F"/>
    <w:rsid w:val="00673579"/>
    <w:rsid w:val="00673D35"/>
    <w:rsid w:val="006762DE"/>
    <w:rsid w:val="00677572"/>
    <w:rsid w:val="006801C7"/>
    <w:rsid w:val="00681482"/>
    <w:rsid w:val="00683E5D"/>
    <w:rsid w:val="006841AF"/>
    <w:rsid w:val="006854AD"/>
    <w:rsid w:val="00685528"/>
    <w:rsid w:val="0068617D"/>
    <w:rsid w:val="00686FD1"/>
    <w:rsid w:val="00687E66"/>
    <w:rsid w:val="0069235C"/>
    <w:rsid w:val="0069555E"/>
    <w:rsid w:val="00695A76"/>
    <w:rsid w:val="00696F8C"/>
    <w:rsid w:val="00697DAC"/>
    <w:rsid w:val="00697E92"/>
    <w:rsid w:val="006A02B1"/>
    <w:rsid w:val="006A1AF7"/>
    <w:rsid w:val="006A50DE"/>
    <w:rsid w:val="006A7118"/>
    <w:rsid w:val="006A7EED"/>
    <w:rsid w:val="006B12E3"/>
    <w:rsid w:val="006B1F91"/>
    <w:rsid w:val="006B639E"/>
    <w:rsid w:val="006B673B"/>
    <w:rsid w:val="006C1189"/>
    <w:rsid w:val="006C2164"/>
    <w:rsid w:val="006C581A"/>
    <w:rsid w:val="006C7454"/>
    <w:rsid w:val="006C7B8E"/>
    <w:rsid w:val="006C7C35"/>
    <w:rsid w:val="006D2417"/>
    <w:rsid w:val="006D5F31"/>
    <w:rsid w:val="006D650B"/>
    <w:rsid w:val="006E108C"/>
    <w:rsid w:val="006E43C2"/>
    <w:rsid w:val="006E7A0F"/>
    <w:rsid w:val="006E7FA6"/>
    <w:rsid w:val="006F0BF4"/>
    <w:rsid w:val="006F1849"/>
    <w:rsid w:val="006F652F"/>
    <w:rsid w:val="006F7D30"/>
    <w:rsid w:val="00701803"/>
    <w:rsid w:val="007064D1"/>
    <w:rsid w:val="0070774C"/>
    <w:rsid w:val="00707F9E"/>
    <w:rsid w:val="0071100C"/>
    <w:rsid w:val="00711D8B"/>
    <w:rsid w:val="00714D2E"/>
    <w:rsid w:val="00715298"/>
    <w:rsid w:val="0071639A"/>
    <w:rsid w:val="00717ECD"/>
    <w:rsid w:val="00723F0F"/>
    <w:rsid w:val="00732ACF"/>
    <w:rsid w:val="00733901"/>
    <w:rsid w:val="00733C0D"/>
    <w:rsid w:val="007353E3"/>
    <w:rsid w:val="00735487"/>
    <w:rsid w:val="00740235"/>
    <w:rsid w:val="00741DE4"/>
    <w:rsid w:val="007451E0"/>
    <w:rsid w:val="00746470"/>
    <w:rsid w:val="007511E3"/>
    <w:rsid w:val="00751B2C"/>
    <w:rsid w:val="00753B34"/>
    <w:rsid w:val="007557E6"/>
    <w:rsid w:val="00757084"/>
    <w:rsid w:val="007616CC"/>
    <w:rsid w:val="00761BC6"/>
    <w:rsid w:val="00761F8E"/>
    <w:rsid w:val="00765F97"/>
    <w:rsid w:val="00774008"/>
    <w:rsid w:val="0077647E"/>
    <w:rsid w:val="007808E1"/>
    <w:rsid w:val="00781420"/>
    <w:rsid w:val="00786FCE"/>
    <w:rsid w:val="00787B33"/>
    <w:rsid w:val="00790359"/>
    <w:rsid w:val="007937B0"/>
    <w:rsid w:val="007941D2"/>
    <w:rsid w:val="007946D3"/>
    <w:rsid w:val="00795BAA"/>
    <w:rsid w:val="0079637E"/>
    <w:rsid w:val="00796718"/>
    <w:rsid w:val="00797315"/>
    <w:rsid w:val="0079741E"/>
    <w:rsid w:val="00797C2A"/>
    <w:rsid w:val="007A068F"/>
    <w:rsid w:val="007A08F6"/>
    <w:rsid w:val="007A1B4F"/>
    <w:rsid w:val="007A1F71"/>
    <w:rsid w:val="007A4BE5"/>
    <w:rsid w:val="007A4D57"/>
    <w:rsid w:val="007A5FB8"/>
    <w:rsid w:val="007A7518"/>
    <w:rsid w:val="007B14E0"/>
    <w:rsid w:val="007B3C27"/>
    <w:rsid w:val="007B46A9"/>
    <w:rsid w:val="007B5D52"/>
    <w:rsid w:val="007B69D6"/>
    <w:rsid w:val="007C088F"/>
    <w:rsid w:val="007C0ADF"/>
    <w:rsid w:val="007C16AF"/>
    <w:rsid w:val="007C3412"/>
    <w:rsid w:val="007C45F4"/>
    <w:rsid w:val="007C4F49"/>
    <w:rsid w:val="007C6946"/>
    <w:rsid w:val="007D19F2"/>
    <w:rsid w:val="007D3727"/>
    <w:rsid w:val="007D52F6"/>
    <w:rsid w:val="007D5AC8"/>
    <w:rsid w:val="007D7B99"/>
    <w:rsid w:val="007E1660"/>
    <w:rsid w:val="007E24CB"/>
    <w:rsid w:val="007E60B0"/>
    <w:rsid w:val="007E6C53"/>
    <w:rsid w:val="007F0760"/>
    <w:rsid w:val="007F3980"/>
    <w:rsid w:val="007F5D1D"/>
    <w:rsid w:val="007F6519"/>
    <w:rsid w:val="007F7F86"/>
    <w:rsid w:val="00802EEF"/>
    <w:rsid w:val="00803113"/>
    <w:rsid w:val="00805B2F"/>
    <w:rsid w:val="00806C79"/>
    <w:rsid w:val="008112EB"/>
    <w:rsid w:val="00815186"/>
    <w:rsid w:val="00815B1A"/>
    <w:rsid w:val="00815B5C"/>
    <w:rsid w:val="00815F42"/>
    <w:rsid w:val="0082091D"/>
    <w:rsid w:val="00821B91"/>
    <w:rsid w:val="00822126"/>
    <w:rsid w:val="00823FDF"/>
    <w:rsid w:val="008244AC"/>
    <w:rsid w:val="00825756"/>
    <w:rsid w:val="008257F3"/>
    <w:rsid w:val="008272D3"/>
    <w:rsid w:val="00830369"/>
    <w:rsid w:val="00830857"/>
    <w:rsid w:val="00841588"/>
    <w:rsid w:val="00844BEA"/>
    <w:rsid w:val="00846FB2"/>
    <w:rsid w:val="00850279"/>
    <w:rsid w:val="008526BF"/>
    <w:rsid w:val="00852FDF"/>
    <w:rsid w:val="00857AC9"/>
    <w:rsid w:val="0086207A"/>
    <w:rsid w:val="00866019"/>
    <w:rsid w:val="00872383"/>
    <w:rsid w:val="008732EA"/>
    <w:rsid w:val="00874C23"/>
    <w:rsid w:val="00876191"/>
    <w:rsid w:val="00876C09"/>
    <w:rsid w:val="008805D2"/>
    <w:rsid w:val="00880D8C"/>
    <w:rsid w:val="00883606"/>
    <w:rsid w:val="00883F26"/>
    <w:rsid w:val="00883FD0"/>
    <w:rsid w:val="00884470"/>
    <w:rsid w:val="00885065"/>
    <w:rsid w:val="008874EE"/>
    <w:rsid w:val="00887A3C"/>
    <w:rsid w:val="008963F7"/>
    <w:rsid w:val="008A552F"/>
    <w:rsid w:val="008A638E"/>
    <w:rsid w:val="008B19C8"/>
    <w:rsid w:val="008B426F"/>
    <w:rsid w:val="008B6A60"/>
    <w:rsid w:val="008B7CA8"/>
    <w:rsid w:val="008C12AF"/>
    <w:rsid w:val="008C153C"/>
    <w:rsid w:val="008C2F5F"/>
    <w:rsid w:val="008C6C7B"/>
    <w:rsid w:val="008C76A2"/>
    <w:rsid w:val="008D0220"/>
    <w:rsid w:val="008D26CD"/>
    <w:rsid w:val="008D2DDB"/>
    <w:rsid w:val="008E1A3F"/>
    <w:rsid w:val="008E3E09"/>
    <w:rsid w:val="008F1E39"/>
    <w:rsid w:val="008F610C"/>
    <w:rsid w:val="00900A10"/>
    <w:rsid w:val="00900D79"/>
    <w:rsid w:val="00904692"/>
    <w:rsid w:val="00905506"/>
    <w:rsid w:val="00905766"/>
    <w:rsid w:val="00905B30"/>
    <w:rsid w:val="009063FC"/>
    <w:rsid w:val="009067E5"/>
    <w:rsid w:val="00913892"/>
    <w:rsid w:val="00914080"/>
    <w:rsid w:val="009144CB"/>
    <w:rsid w:val="00915F71"/>
    <w:rsid w:val="0091657B"/>
    <w:rsid w:val="0091696F"/>
    <w:rsid w:val="0092103F"/>
    <w:rsid w:val="00923B62"/>
    <w:rsid w:val="00924407"/>
    <w:rsid w:val="00933E44"/>
    <w:rsid w:val="00933F30"/>
    <w:rsid w:val="0093477D"/>
    <w:rsid w:val="00940BBC"/>
    <w:rsid w:val="009473C5"/>
    <w:rsid w:val="0095073A"/>
    <w:rsid w:val="00951FB7"/>
    <w:rsid w:val="00952416"/>
    <w:rsid w:val="009531DF"/>
    <w:rsid w:val="009564D3"/>
    <w:rsid w:val="00956ABD"/>
    <w:rsid w:val="00957F89"/>
    <w:rsid w:val="00962242"/>
    <w:rsid w:val="00965C6C"/>
    <w:rsid w:val="0096617E"/>
    <w:rsid w:val="00967C82"/>
    <w:rsid w:val="00971F74"/>
    <w:rsid w:val="0097569A"/>
    <w:rsid w:val="009777B6"/>
    <w:rsid w:val="00977A7C"/>
    <w:rsid w:val="00980509"/>
    <w:rsid w:val="009825D1"/>
    <w:rsid w:val="00983B66"/>
    <w:rsid w:val="00987939"/>
    <w:rsid w:val="0099102E"/>
    <w:rsid w:val="00992BA0"/>
    <w:rsid w:val="009939DC"/>
    <w:rsid w:val="0099534B"/>
    <w:rsid w:val="009A0373"/>
    <w:rsid w:val="009A4649"/>
    <w:rsid w:val="009A73F2"/>
    <w:rsid w:val="009B1348"/>
    <w:rsid w:val="009B3FB8"/>
    <w:rsid w:val="009B406F"/>
    <w:rsid w:val="009B5CBC"/>
    <w:rsid w:val="009B7EF1"/>
    <w:rsid w:val="009C05F4"/>
    <w:rsid w:val="009C2541"/>
    <w:rsid w:val="009C3745"/>
    <w:rsid w:val="009C374E"/>
    <w:rsid w:val="009D085E"/>
    <w:rsid w:val="009D0FE8"/>
    <w:rsid w:val="009D1FB8"/>
    <w:rsid w:val="009D7C76"/>
    <w:rsid w:val="009E04D0"/>
    <w:rsid w:val="009E5F74"/>
    <w:rsid w:val="009E6370"/>
    <w:rsid w:val="009E6B8F"/>
    <w:rsid w:val="009F0AB3"/>
    <w:rsid w:val="009F1E93"/>
    <w:rsid w:val="009F2681"/>
    <w:rsid w:val="009F610D"/>
    <w:rsid w:val="009F6EEF"/>
    <w:rsid w:val="009F6FD7"/>
    <w:rsid w:val="009F79EA"/>
    <w:rsid w:val="00A01A2C"/>
    <w:rsid w:val="00A01BA0"/>
    <w:rsid w:val="00A10A36"/>
    <w:rsid w:val="00A10C3E"/>
    <w:rsid w:val="00A12737"/>
    <w:rsid w:val="00A17B46"/>
    <w:rsid w:val="00A2001D"/>
    <w:rsid w:val="00A202BC"/>
    <w:rsid w:val="00A24D62"/>
    <w:rsid w:val="00A25D3A"/>
    <w:rsid w:val="00A30FAA"/>
    <w:rsid w:val="00A31297"/>
    <w:rsid w:val="00A31D15"/>
    <w:rsid w:val="00A349F0"/>
    <w:rsid w:val="00A358D2"/>
    <w:rsid w:val="00A378F5"/>
    <w:rsid w:val="00A37E0F"/>
    <w:rsid w:val="00A42689"/>
    <w:rsid w:val="00A4305C"/>
    <w:rsid w:val="00A50946"/>
    <w:rsid w:val="00A54DEE"/>
    <w:rsid w:val="00A55333"/>
    <w:rsid w:val="00A57A04"/>
    <w:rsid w:val="00A57D44"/>
    <w:rsid w:val="00A613DC"/>
    <w:rsid w:val="00A615CF"/>
    <w:rsid w:val="00A617AC"/>
    <w:rsid w:val="00A66FC9"/>
    <w:rsid w:val="00A71CA1"/>
    <w:rsid w:val="00A73161"/>
    <w:rsid w:val="00A773AF"/>
    <w:rsid w:val="00A84049"/>
    <w:rsid w:val="00A84EA9"/>
    <w:rsid w:val="00A9080D"/>
    <w:rsid w:val="00A92E19"/>
    <w:rsid w:val="00A947D7"/>
    <w:rsid w:val="00A967DE"/>
    <w:rsid w:val="00AA14A3"/>
    <w:rsid w:val="00AA162D"/>
    <w:rsid w:val="00AA256D"/>
    <w:rsid w:val="00AA67A1"/>
    <w:rsid w:val="00AA7381"/>
    <w:rsid w:val="00AB07A2"/>
    <w:rsid w:val="00AC1BC6"/>
    <w:rsid w:val="00AC1CFC"/>
    <w:rsid w:val="00AC4FB6"/>
    <w:rsid w:val="00AC744E"/>
    <w:rsid w:val="00AD0ABE"/>
    <w:rsid w:val="00AD3B21"/>
    <w:rsid w:val="00AD59CE"/>
    <w:rsid w:val="00AE0630"/>
    <w:rsid w:val="00AE3575"/>
    <w:rsid w:val="00AE5BDE"/>
    <w:rsid w:val="00AE6082"/>
    <w:rsid w:val="00AF1128"/>
    <w:rsid w:val="00AF2E83"/>
    <w:rsid w:val="00AF3702"/>
    <w:rsid w:val="00AF40AB"/>
    <w:rsid w:val="00AF478F"/>
    <w:rsid w:val="00AF68B2"/>
    <w:rsid w:val="00AF6AA1"/>
    <w:rsid w:val="00AF7AC6"/>
    <w:rsid w:val="00AF7E7F"/>
    <w:rsid w:val="00B01860"/>
    <w:rsid w:val="00B03955"/>
    <w:rsid w:val="00B03DE3"/>
    <w:rsid w:val="00B0678F"/>
    <w:rsid w:val="00B06D0C"/>
    <w:rsid w:val="00B10C9A"/>
    <w:rsid w:val="00B14DBB"/>
    <w:rsid w:val="00B20C13"/>
    <w:rsid w:val="00B214E9"/>
    <w:rsid w:val="00B24CBF"/>
    <w:rsid w:val="00B259F4"/>
    <w:rsid w:val="00B316D2"/>
    <w:rsid w:val="00B37843"/>
    <w:rsid w:val="00B425E7"/>
    <w:rsid w:val="00B43EAE"/>
    <w:rsid w:val="00B4557F"/>
    <w:rsid w:val="00B46344"/>
    <w:rsid w:val="00B501AB"/>
    <w:rsid w:val="00B509E7"/>
    <w:rsid w:val="00B513EA"/>
    <w:rsid w:val="00B519D2"/>
    <w:rsid w:val="00B5258C"/>
    <w:rsid w:val="00B545C4"/>
    <w:rsid w:val="00B57779"/>
    <w:rsid w:val="00B606E7"/>
    <w:rsid w:val="00B6121D"/>
    <w:rsid w:val="00B613A1"/>
    <w:rsid w:val="00B66BD3"/>
    <w:rsid w:val="00B714B8"/>
    <w:rsid w:val="00B74F27"/>
    <w:rsid w:val="00B77D62"/>
    <w:rsid w:val="00B80888"/>
    <w:rsid w:val="00B82D4A"/>
    <w:rsid w:val="00B915CF"/>
    <w:rsid w:val="00B92321"/>
    <w:rsid w:val="00B94F60"/>
    <w:rsid w:val="00B962A9"/>
    <w:rsid w:val="00B96B04"/>
    <w:rsid w:val="00BA0B1D"/>
    <w:rsid w:val="00BA13A1"/>
    <w:rsid w:val="00BA25B2"/>
    <w:rsid w:val="00BA2815"/>
    <w:rsid w:val="00BA73EA"/>
    <w:rsid w:val="00BB440F"/>
    <w:rsid w:val="00BB6C4C"/>
    <w:rsid w:val="00BB7F3C"/>
    <w:rsid w:val="00BC11A2"/>
    <w:rsid w:val="00BC5441"/>
    <w:rsid w:val="00BC59AF"/>
    <w:rsid w:val="00BC67CD"/>
    <w:rsid w:val="00BC6A05"/>
    <w:rsid w:val="00BD1ADF"/>
    <w:rsid w:val="00BD390C"/>
    <w:rsid w:val="00BE14FB"/>
    <w:rsid w:val="00BE7B69"/>
    <w:rsid w:val="00BF0C1E"/>
    <w:rsid w:val="00BF12B8"/>
    <w:rsid w:val="00BF1585"/>
    <w:rsid w:val="00BF2D15"/>
    <w:rsid w:val="00BF34F2"/>
    <w:rsid w:val="00BF3CA7"/>
    <w:rsid w:val="00BF457F"/>
    <w:rsid w:val="00BF4E0B"/>
    <w:rsid w:val="00BF67B8"/>
    <w:rsid w:val="00BF680F"/>
    <w:rsid w:val="00C009AA"/>
    <w:rsid w:val="00C02A9F"/>
    <w:rsid w:val="00C044A1"/>
    <w:rsid w:val="00C10D88"/>
    <w:rsid w:val="00C10E8D"/>
    <w:rsid w:val="00C15112"/>
    <w:rsid w:val="00C170F2"/>
    <w:rsid w:val="00C216AE"/>
    <w:rsid w:val="00C24C7E"/>
    <w:rsid w:val="00C25847"/>
    <w:rsid w:val="00C263B6"/>
    <w:rsid w:val="00C4210F"/>
    <w:rsid w:val="00C42C7C"/>
    <w:rsid w:val="00C44D7B"/>
    <w:rsid w:val="00C46075"/>
    <w:rsid w:val="00C46CA8"/>
    <w:rsid w:val="00C50CC7"/>
    <w:rsid w:val="00C54F99"/>
    <w:rsid w:val="00C5599E"/>
    <w:rsid w:val="00C572C2"/>
    <w:rsid w:val="00C627F5"/>
    <w:rsid w:val="00C62A04"/>
    <w:rsid w:val="00C63D64"/>
    <w:rsid w:val="00C655DD"/>
    <w:rsid w:val="00C70CF1"/>
    <w:rsid w:val="00C73287"/>
    <w:rsid w:val="00C73EE1"/>
    <w:rsid w:val="00C763AB"/>
    <w:rsid w:val="00C76F32"/>
    <w:rsid w:val="00C80219"/>
    <w:rsid w:val="00C805A8"/>
    <w:rsid w:val="00C84996"/>
    <w:rsid w:val="00C917D3"/>
    <w:rsid w:val="00C92420"/>
    <w:rsid w:val="00C94F51"/>
    <w:rsid w:val="00C950E0"/>
    <w:rsid w:val="00C9528F"/>
    <w:rsid w:val="00C9710F"/>
    <w:rsid w:val="00CA1B7C"/>
    <w:rsid w:val="00CA3B9A"/>
    <w:rsid w:val="00CA4EDD"/>
    <w:rsid w:val="00CA594B"/>
    <w:rsid w:val="00CA5AD6"/>
    <w:rsid w:val="00CA7E59"/>
    <w:rsid w:val="00CB243E"/>
    <w:rsid w:val="00CB2F4F"/>
    <w:rsid w:val="00CB3FEE"/>
    <w:rsid w:val="00CC3101"/>
    <w:rsid w:val="00CC496F"/>
    <w:rsid w:val="00CC6431"/>
    <w:rsid w:val="00CC6B0C"/>
    <w:rsid w:val="00CC760B"/>
    <w:rsid w:val="00CD572F"/>
    <w:rsid w:val="00CD724E"/>
    <w:rsid w:val="00CD788D"/>
    <w:rsid w:val="00CE0994"/>
    <w:rsid w:val="00CE0A3F"/>
    <w:rsid w:val="00CE1ADF"/>
    <w:rsid w:val="00CE3139"/>
    <w:rsid w:val="00CE62F4"/>
    <w:rsid w:val="00CF1152"/>
    <w:rsid w:val="00CF17AA"/>
    <w:rsid w:val="00CF48C0"/>
    <w:rsid w:val="00D0159A"/>
    <w:rsid w:val="00D0235A"/>
    <w:rsid w:val="00D0309A"/>
    <w:rsid w:val="00D0377A"/>
    <w:rsid w:val="00D037E8"/>
    <w:rsid w:val="00D03A81"/>
    <w:rsid w:val="00D04F99"/>
    <w:rsid w:val="00D0662E"/>
    <w:rsid w:val="00D07619"/>
    <w:rsid w:val="00D126D6"/>
    <w:rsid w:val="00D1416B"/>
    <w:rsid w:val="00D15734"/>
    <w:rsid w:val="00D1625B"/>
    <w:rsid w:val="00D2012D"/>
    <w:rsid w:val="00D23783"/>
    <w:rsid w:val="00D24990"/>
    <w:rsid w:val="00D26224"/>
    <w:rsid w:val="00D266EF"/>
    <w:rsid w:val="00D26D47"/>
    <w:rsid w:val="00D30ADF"/>
    <w:rsid w:val="00D3117F"/>
    <w:rsid w:val="00D32FF0"/>
    <w:rsid w:val="00D332D5"/>
    <w:rsid w:val="00D3483E"/>
    <w:rsid w:val="00D355FE"/>
    <w:rsid w:val="00D35983"/>
    <w:rsid w:val="00D41197"/>
    <w:rsid w:val="00D42088"/>
    <w:rsid w:val="00D458B0"/>
    <w:rsid w:val="00D47AD9"/>
    <w:rsid w:val="00D52596"/>
    <w:rsid w:val="00D52C4C"/>
    <w:rsid w:val="00D60E4B"/>
    <w:rsid w:val="00D615F4"/>
    <w:rsid w:val="00D6207A"/>
    <w:rsid w:val="00D623BE"/>
    <w:rsid w:val="00D67EBA"/>
    <w:rsid w:val="00D7030C"/>
    <w:rsid w:val="00D70D15"/>
    <w:rsid w:val="00D716F6"/>
    <w:rsid w:val="00D71F45"/>
    <w:rsid w:val="00D7359D"/>
    <w:rsid w:val="00D7478B"/>
    <w:rsid w:val="00D82FB8"/>
    <w:rsid w:val="00D91106"/>
    <w:rsid w:val="00D928EE"/>
    <w:rsid w:val="00D95C16"/>
    <w:rsid w:val="00DA068E"/>
    <w:rsid w:val="00DA399E"/>
    <w:rsid w:val="00DA4495"/>
    <w:rsid w:val="00DA7561"/>
    <w:rsid w:val="00DB1634"/>
    <w:rsid w:val="00DB2D73"/>
    <w:rsid w:val="00DB6C41"/>
    <w:rsid w:val="00DC0D93"/>
    <w:rsid w:val="00DC3F23"/>
    <w:rsid w:val="00DC4E6F"/>
    <w:rsid w:val="00DC5335"/>
    <w:rsid w:val="00DC5A9A"/>
    <w:rsid w:val="00DC65F0"/>
    <w:rsid w:val="00DC705E"/>
    <w:rsid w:val="00DD2537"/>
    <w:rsid w:val="00DD3B11"/>
    <w:rsid w:val="00DD3DB2"/>
    <w:rsid w:val="00DD68EC"/>
    <w:rsid w:val="00DE3EAC"/>
    <w:rsid w:val="00DE4634"/>
    <w:rsid w:val="00DE5746"/>
    <w:rsid w:val="00DF02D0"/>
    <w:rsid w:val="00DF1644"/>
    <w:rsid w:val="00DF55FE"/>
    <w:rsid w:val="00E02E2B"/>
    <w:rsid w:val="00E03E60"/>
    <w:rsid w:val="00E05BAB"/>
    <w:rsid w:val="00E05E64"/>
    <w:rsid w:val="00E07706"/>
    <w:rsid w:val="00E11453"/>
    <w:rsid w:val="00E123A3"/>
    <w:rsid w:val="00E13B29"/>
    <w:rsid w:val="00E13F9E"/>
    <w:rsid w:val="00E13FEA"/>
    <w:rsid w:val="00E21CF8"/>
    <w:rsid w:val="00E22B81"/>
    <w:rsid w:val="00E24E66"/>
    <w:rsid w:val="00E27C2A"/>
    <w:rsid w:val="00E311FD"/>
    <w:rsid w:val="00E31352"/>
    <w:rsid w:val="00E321AF"/>
    <w:rsid w:val="00E37097"/>
    <w:rsid w:val="00E3765B"/>
    <w:rsid w:val="00E45350"/>
    <w:rsid w:val="00E45C64"/>
    <w:rsid w:val="00E5669D"/>
    <w:rsid w:val="00E615B3"/>
    <w:rsid w:val="00E6160B"/>
    <w:rsid w:val="00E63839"/>
    <w:rsid w:val="00E6423A"/>
    <w:rsid w:val="00E64853"/>
    <w:rsid w:val="00E64A3C"/>
    <w:rsid w:val="00E71A23"/>
    <w:rsid w:val="00E73CE4"/>
    <w:rsid w:val="00E73D72"/>
    <w:rsid w:val="00E746B7"/>
    <w:rsid w:val="00E74955"/>
    <w:rsid w:val="00E750FE"/>
    <w:rsid w:val="00E76EE0"/>
    <w:rsid w:val="00E83DC2"/>
    <w:rsid w:val="00E854A6"/>
    <w:rsid w:val="00E86FD8"/>
    <w:rsid w:val="00E902F8"/>
    <w:rsid w:val="00E92F03"/>
    <w:rsid w:val="00E93744"/>
    <w:rsid w:val="00E95023"/>
    <w:rsid w:val="00E952E7"/>
    <w:rsid w:val="00E97ECA"/>
    <w:rsid w:val="00EA0873"/>
    <w:rsid w:val="00EA2BE0"/>
    <w:rsid w:val="00EA2DF6"/>
    <w:rsid w:val="00EA3DFB"/>
    <w:rsid w:val="00EA4BF2"/>
    <w:rsid w:val="00EB2CBA"/>
    <w:rsid w:val="00EB338F"/>
    <w:rsid w:val="00EB5675"/>
    <w:rsid w:val="00EB59D2"/>
    <w:rsid w:val="00EC5941"/>
    <w:rsid w:val="00EC5CFF"/>
    <w:rsid w:val="00ED02D3"/>
    <w:rsid w:val="00ED2519"/>
    <w:rsid w:val="00ED5BA8"/>
    <w:rsid w:val="00ED63FD"/>
    <w:rsid w:val="00ED6701"/>
    <w:rsid w:val="00ED7EBA"/>
    <w:rsid w:val="00EE0053"/>
    <w:rsid w:val="00EE224C"/>
    <w:rsid w:val="00EE481F"/>
    <w:rsid w:val="00EE5268"/>
    <w:rsid w:val="00EE5724"/>
    <w:rsid w:val="00EE5E97"/>
    <w:rsid w:val="00EE6667"/>
    <w:rsid w:val="00EF051F"/>
    <w:rsid w:val="00EF550A"/>
    <w:rsid w:val="00EF7171"/>
    <w:rsid w:val="00F00D5D"/>
    <w:rsid w:val="00F01407"/>
    <w:rsid w:val="00F01931"/>
    <w:rsid w:val="00F0255C"/>
    <w:rsid w:val="00F12B77"/>
    <w:rsid w:val="00F131A1"/>
    <w:rsid w:val="00F160E9"/>
    <w:rsid w:val="00F20623"/>
    <w:rsid w:val="00F23830"/>
    <w:rsid w:val="00F24A90"/>
    <w:rsid w:val="00F26293"/>
    <w:rsid w:val="00F26A4C"/>
    <w:rsid w:val="00F26CF4"/>
    <w:rsid w:val="00F2784E"/>
    <w:rsid w:val="00F336EA"/>
    <w:rsid w:val="00F3463A"/>
    <w:rsid w:val="00F3493D"/>
    <w:rsid w:val="00F3528F"/>
    <w:rsid w:val="00F35B7C"/>
    <w:rsid w:val="00F362E0"/>
    <w:rsid w:val="00F3700E"/>
    <w:rsid w:val="00F373A1"/>
    <w:rsid w:val="00F37829"/>
    <w:rsid w:val="00F4079F"/>
    <w:rsid w:val="00F437FB"/>
    <w:rsid w:val="00F44FB5"/>
    <w:rsid w:val="00F45BCF"/>
    <w:rsid w:val="00F46EE1"/>
    <w:rsid w:val="00F47341"/>
    <w:rsid w:val="00F55882"/>
    <w:rsid w:val="00F57EAC"/>
    <w:rsid w:val="00F57F2C"/>
    <w:rsid w:val="00F608B9"/>
    <w:rsid w:val="00F644F3"/>
    <w:rsid w:val="00F65611"/>
    <w:rsid w:val="00F6658F"/>
    <w:rsid w:val="00F675EB"/>
    <w:rsid w:val="00F708C7"/>
    <w:rsid w:val="00F749E4"/>
    <w:rsid w:val="00F83B77"/>
    <w:rsid w:val="00F83FF0"/>
    <w:rsid w:val="00F86CE1"/>
    <w:rsid w:val="00F87BE8"/>
    <w:rsid w:val="00F95504"/>
    <w:rsid w:val="00FB0003"/>
    <w:rsid w:val="00FB2953"/>
    <w:rsid w:val="00FB3D2E"/>
    <w:rsid w:val="00FB442A"/>
    <w:rsid w:val="00FB6D41"/>
    <w:rsid w:val="00FC371F"/>
    <w:rsid w:val="00FC4BAE"/>
    <w:rsid w:val="00FD3C81"/>
    <w:rsid w:val="00FD3D79"/>
    <w:rsid w:val="00FD3F82"/>
    <w:rsid w:val="00FD46E1"/>
    <w:rsid w:val="00FD51C6"/>
    <w:rsid w:val="00FD547B"/>
    <w:rsid w:val="00FD6E68"/>
    <w:rsid w:val="00FD7171"/>
    <w:rsid w:val="00FE0501"/>
    <w:rsid w:val="00FE0795"/>
    <w:rsid w:val="00FE302A"/>
    <w:rsid w:val="00FE4942"/>
    <w:rsid w:val="00FE64DC"/>
    <w:rsid w:val="00FE719B"/>
    <w:rsid w:val="00FE7D61"/>
    <w:rsid w:val="00FF033A"/>
    <w:rsid w:val="00FF12E9"/>
    <w:rsid w:val="00FF173D"/>
    <w:rsid w:val="00FF1B86"/>
    <w:rsid w:val="00FF2071"/>
    <w:rsid w:val="00FF4ED4"/>
    <w:rsid w:val="00FF6745"/>
    <w:rsid w:val="00FF71A1"/>
    <w:rsid w:val="00FF74E2"/>
    <w:rsid w:val="00FF7C5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97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14D2E"/>
    <w:pPr>
      <w:spacing w:before="60" w:after="60"/>
      <w:jc w:val="both"/>
    </w:pPr>
    <w:rPr>
      <w:rFonts w:ascii="Calibri" w:hAnsi="Calibri"/>
      <w:sz w:val="24"/>
      <w:lang w:val="en-US" w:eastAsia="en-US"/>
    </w:rPr>
  </w:style>
  <w:style w:type="paragraph" w:styleId="Nadpis1">
    <w:name w:val="heading 1"/>
    <w:basedOn w:val="Normln"/>
    <w:next w:val="Nadpis2"/>
    <w:qFormat/>
    <w:rsid w:val="002D4603"/>
    <w:pPr>
      <w:keepNext/>
      <w:numPr>
        <w:numId w:val="5"/>
      </w:numPr>
      <w:spacing w:before="240" w:after="120"/>
      <w:outlineLvl w:val="0"/>
    </w:pPr>
    <w:rPr>
      <w:b/>
      <w:caps/>
      <w:snapToGrid w:val="0"/>
      <w:kern w:val="32"/>
    </w:rPr>
  </w:style>
  <w:style w:type="paragraph" w:styleId="Nadpis2">
    <w:name w:val="heading 2"/>
    <w:basedOn w:val="Normln"/>
    <w:next w:val="Normln"/>
    <w:link w:val="Nadpis2Char"/>
    <w:qFormat/>
    <w:rsid w:val="00C009AA"/>
    <w:pPr>
      <w:widowControl w:val="0"/>
      <w:numPr>
        <w:ilvl w:val="1"/>
        <w:numId w:val="5"/>
      </w:numPr>
      <w:outlineLvl w:val="1"/>
    </w:pPr>
    <w:rPr>
      <w:snapToGrid w:val="0"/>
    </w:rPr>
  </w:style>
  <w:style w:type="paragraph" w:styleId="Nadpis3">
    <w:name w:val="heading 3"/>
    <w:basedOn w:val="Normln"/>
    <w:next w:val="Normln"/>
    <w:link w:val="Nadpis3Char"/>
    <w:qFormat/>
    <w:rsid w:val="00C009AA"/>
    <w:pPr>
      <w:numPr>
        <w:ilvl w:val="2"/>
        <w:numId w:val="5"/>
      </w:numPr>
      <w:outlineLvl w:val="2"/>
    </w:pPr>
    <w:rPr>
      <w:snapToGrid w:val="0"/>
    </w:rPr>
  </w:style>
  <w:style w:type="paragraph" w:styleId="Nadpis4">
    <w:name w:val="heading 4"/>
    <w:aliases w:val="Sub-Minor,Level 2 - a,smlouva,h4"/>
    <w:basedOn w:val="Normln"/>
    <w:next w:val="Normln"/>
    <w:link w:val="Nadpis4Char"/>
    <w:qFormat/>
    <w:rsid w:val="00E64A3C"/>
    <w:pPr>
      <w:widowControl w:val="0"/>
      <w:numPr>
        <w:ilvl w:val="3"/>
        <w:numId w:val="5"/>
      </w:numPr>
      <w:outlineLvl w:val="3"/>
    </w:pPr>
    <w:rPr>
      <w:snapToGrid w:val="0"/>
    </w:rPr>
  </w:style>
  <w:style w:type="paragraph" w:styleId="Nadpis5">
    <w:name w:val="heading 5"/>
    <w:basedOn w:val="Normln"/>
    <w:next w:val="Normln"/>
    <w:qFormat/>
    <w:rsid w:val="00E64A3C"/>
    <w:pPr>
      <w:widowControl w:val="0"/>
      <w:numPr>
        <w:ilvl w:val="4"/>
        <w:numId w:val="5"/>
      </w:numPr>
      <w:outlineLvl w:val="4"/>
    </w:pPr>
    <w:rPr>
      <w:snapToGrid w:val="0"/>
    </w:rPr>
  </w:style>
  <w:style w:type="paragraph" w:styleId="Nadpis6">
    <w:name w:val="heading 6"/>
    <w:basedOn w:val="Normln"/>
    <w:next w:val="Normln"/>
    <w:qFormat/>
    <w:rsid w:val="00915F71"/>
    <w:pPr>
      <w:numPr>
        <w:ilvl w:val="5"/>
        <w:numId w:val="5"/>
      </w:numPr>
      <w:overflowPunct w:val="0"/>
      <w:autoSpaceDE w:val="0"/>
      <w:autoSpaceDN w:val="0"/>
      <w:adjustRightInd w:val="0"/>
      <w:spacing w:after="240"/>
      <w:jc w:val="center"/>
      <w:textAlignment w:val="baseline"/>
      <w:outlineLvl w:val="5"/>
    </w:pPr>
    <w:rPr>
      <w:b/>
      <w:caps/>
      <w:szCs w:val="24"/>
    </w:rPr>
  </w:style>
  <w:style w:type="paragraph" w:styleId="Nadpis7">
    <w:name w:val="heading 7"/>
    <w:basedOn w:val="Normln"/>
    <w:next w:val="Normln"/>
    <w:qFormat/>
    <w:rsid w:val="00915F71"/>
    <w:pPr>
      <w:keepNext/>
      <w:numPr>
        <w:ilvl w:val="6"/>
        <w:numId w:val="5"/>
      </w:numPr>
      <w:tabs>
        <w:tab w:val="left" w:pos="1578"/>
        <w:tab w:val="left" w:pos="2232"/>
        <w:tab w:val="left" w:pos="2880"/>
        <w:tab w:val="left" w:pos="3600"/>
      </w:tabs>
      <w:overflowPunct w:val="0"/>
      <w:autoSpaceDE w:val="0"/>
      <w:autoSpaceDN w:val="0"/>
      <w:adjustRightInd w:val="0"/>
      <w:spacing w:line="243" w:lineRule="exact"/>
      <w:textAlignment w:val="baseline"/>
      <w:outlineLvl w:val="6"/>
    </w:pPr>
    <w:rPr>
      <w:b/>
      <w:spacing w:val="-5"/>
    </w:rPr>
  </w:style>
  <w:style w:type="paragraph" w:styleId="Nadpis8">
    <w:name w:val="heading 8"/>
    <w:basedOn w:val="Normln"/>
    <w:next w:val="Normln"/>
    <w:qFormat/>
    <w:rsid w:val="006D2417"/>
    <w:pPr>
      <w:numPr>
        <w:ilvl w:val="7"/>
        <w:numId w:val="5"/>
      </w:numPr>
      <w:overflowPunct w:val="0"/>
      <w:autoSpaceDE w:val="0"/>
      <w:autoSpaceDN w:val="0"/>
      <w:adjustRightInd w:val="0"/>
      <w:spacing w:before="240"/>
      <w:textAlignment w:val="baseline"/>
      <w:outlineLvl w:val="7"/>
    </w:pPr>
    <w:rPr>
      <w:i/>
      <w:iCs/>
      <w:szCs w:val="24"/>
    </w:rPr>
  </w:style>
  <w:style w:type="paragraph" w:styleId="Nadpis9">
    <w:name w:val="heading 9"/>
    <w:basedOn w:val="Normln"/>
    <w:next w:val="Normln"/>
    <w:qFormat/>
    <w:rsid w:val="006B639E"/>
    <w:pPr>
      <w:numPr>
        <w:ilvl w:val="8"/>
        <w:numId w:val="5"/>
      </w:numPr>
      <w:overflowPunct w:val="0"/>
      <w:autoSpaceDE w:val="0"/>
      <w:autoSpaceDN w:val="0"/>
      <w:adjustRightInd w:val="0"/>
      <w:spacing w:before="240"/>
      <w:textAlignment w:val="baseline"/>
      <w:outlineLvl w:val="8"/>
    </w:pPr>
    <w:rPr>
      <w:rFonts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odsazenNadpis2">
    <w:name w:val="Normální odsazený Nadpis 2"/>
    <w:basedOn w:val="Normln"/>
    <w:rsid w:val="00241C2B"/>
    <w:pPr>
      <w:ind w:left="709"/>
    </w:pPr>
  </w:style>
  <w:style w:type="paragraph" w:customStyle="1" w:styleId="NormlnodsazenNadpis3">
    <w:name w:val="Normální odsazený Nadpis 3"/>
    <w:basedOn w:val="Normln"/>
    <w:rsid w:val="00DF55FE"/>
    <w:pPr>
      <w:ind w:left="1418"/>
    </w:pPr>
  </w:style>
  <w:style w:type="character" w:customStyle="1" w:styleId="Nadpis2Char">
    <w:name w:val="Nadpis 2 Char"/>
    <w:basedOn w:val="Standardnpsmoodstavce"/>
    <w:link w:val="Nadpis2"/>
    <w:rsid w:val="00C009AA"/>
    <w:rPr>
      <w:rFonts w:ascii="Calibri" w:hAnsi="Calibri"/>
      <w:snapToGrid w:val="0"/>
      <w:sz w:val="24"/>
      <w:lang w:val="en-US" w:eastAsia="en-US"/>
    </w:rPr>
  </w:style>
  <w:style w:type="paragraph" w:styleId="Zhlav">
    <w:name w:val="header"/>
    <w:basedOn w:val="Normln"/>
    <w:link w:val="ZhlavChar"/>
    <w:rsid w:val="000A4456"/>
    <w:pPr>
      <w:tabs>
        <w:tab w:val="center" w:pos="4536"/>
        <w:tab w:val="right" w:pos="9072"/>
      </w:tabs>
      <w:spacing w:before="0" w:after="0"/>
    </w:pPr>
    <w:rPr>
      <w:sz w:val="16"/>
    </w:rPr>
  </w:style>
  <w:style w:type="paragraph" w:styleId="Zpat">
    <w:name w:val="footer"/>
    <w:basedOn w:val="Normln"/>
    <w:link w:val="ZpatChar"/>
    <w:rsid w:val="00A773AF"/>
    <w:pPr>
      <w:tabs>
        <w:tab w:val="center" w:pos="4536"/>
        <w:tab w:val="right" w:pos="9072"/>
      </w:tabs>
    </w:pPr>
  </w:style>
  <w:style w:type="character" w:customStyle="1" w:styleId="Nadpis4Char">
    <w:name w:val="Nadpis 4 Char"/>
    <w:aliases w:val="Sub-Minor Char,Level 2 - a Char,smlouva Char,h4 Char"/>
    <w:basedOn w:val="Standardnpsmoodstavce"/>
    <w:link w:val="Nadpis4"/>
    <w:rsid w:val="00E64A3C"/>
    <w:rPr>
      <w:rFonts w:ascii="Calibri" w:hAnsi="Calibri"/>
      <w:snapToGrid w:val="0"/>
      <w:sz w:val="24"/>
      <w:lang w:val="en-US" w:eastAsia="en-US"/>
    </w:rPr>
  </w:style>
  <w:style w:type="paragraph" w:customStyle="1" w:styleId="Level1">
    <w:name w:val="Level 1"/>
    <w:basedOn w:val="Normln"/>
    <w:next w:val="Normln"/>
    <w:rsid w:val="002D4603"/>
    <w:pPr>
      <w:keepNext/>
      <w:numPr>
        <w:numId w:val="1"/>
      </w:numPr>
      <w:spacing w:before="240" w:after="120"/>
      <w:outlineLvl w:val="0"/>
    </w:pPr>
    <w:rPr>
      <w:rFonts w:cs="Arial"/>
      <w:b/>
      <w:caps/>
      <w:kern w:val="20"/>
      <w:lang w:val="en-GB"/>
    </w:rPr>
  </w:style>
  <w:style w:type="paragraph" w:customStyle="1" w:styleId="Level2">
    <w:name w:val="Level 2"/>
    <w:basedOn w:val="Normln"/>
    <w:rsid w:val="00E64A3C"/>
    <w:pPr>
      <w:numPr>
        <w:ilvl w:val="1"/>
        <w:numId w:val="1"/>
      </w:numPr>
      <w:outlineLvl w:val="1"/>
    </w:pPr>
    <w:rPr>
      <w:rFonts w:cs="Arial"/>
      <w:kern w:val="20"/>
      <w:lang w:val="en-GB"/>
    </w:rPr>
  </w:style>
  <w:style w:type="paragraph" w:customStyle="1" w:styleId="Level3">
    <w:name w:val="Level 3"/>
    <w:basedOn w:val="Normln"/>
    <w:rsid w:val="00E64A3C"/>
    <w:pPr>
      <w:numPr>
        <w:ilvl w:val="2"/>
        <w:numId w:val="1"/>
      </w:numPr>
      <w:outlineLvl w:val="2"/>
    </w:pPr>
    <w:rPr>
      <w:rFonts w:cs="Arial"/>
      <w:kern w:val="20"/>
      <w:lang w:val="en-GB"/>
    </w:rPr>
  </w:style>
  <w:style w:type="paragraph" w:customStyle="1" w:styleId="Level4">
    <w:name w:val="Level 4"/>
    <w:basedOn w:val="Normln"/>
    <w:rsid w:val="00E64A3C"/>
    <w:pPr>
      <w:numPr>
        <w:ilvl w:val="3"/>
        <w:numId w:val="1"/>
      </w:numPr>
      <w:outlineLvl w:val="3"/>
    </w:pPr>
    <w:rPr>
      <w:rFonts w:cs="Arial"/>
      <w:kern w:val="20"/>
      <w:lang w:val="en-GB"/>
    </w:rPr>
  </w:style>
  <w:style w:type="paragraph" w:customStyle="1" w:styleId="Strany">
    <w:name w:val="Strany"/>
    <w:basedOn w:val="Normln"/>
    <w:rsid w:val="00FD547B"/>
    <w:pPr>
      <w:numPr>
        <w:numId w:val="2"/>
      </w:numPr>
      <w:tabs>
        <w:tab w:val="left" w:pos="3024"/>
      </w:tabs>
      <w:spacing w:after="240"/>
    </w:pPr>
    <w:rPr>
      <w:noProof/>
      <w:color w:val="000000"/>
      <w:szCs w:val="24"/>
    </w:rPr>
  </w:style>
  <w:style w:type="paragraph" w:customStyle="1" w:styleId="vodnustanoven">
    <w:name w:val="Úvodní ustanovení"/>
    <w:basedOn w:val="Normln"/>
    <w:rsid w:val="00E64A3C"/>
    <w:pPr>
      <w:numPr>
        <w:numId w:val="3"/>
      </w:numPr>
      <w:tabs>
        <w:tab w:val="left" w:pos="3024"/>
      </w:tabs>
    </w:pPr>
    <w:rPr>
      <w:color w:val="000000"/>
      <w:spacing w:val="-2"/>
    </w:rPr>
  </w:style>
  <w:style w:type="character" w:styleId="slostrnky">
    <w:name w:val="page number"/>
    <w:basedOn w:val="Standardnpsmoodstavce"/>
    <w:rsid w:val="002010F0"/>
    <w:rPr>
      <w:rFonts w:ascii="Calibri" w:hAnsi="Calibri"/>
      <w:sz w:val="16"/>
    </w:rPr>
  </w:style>
  <w:style w:type="paragraph" w:customStyle="1" w:styleId="Nadpissted">
    <w:name w:val="Nadpis střed"/>
    <w:basedOn w:val="Normln"/>
    <w:rsid w:val="00225FAE"/>
    <w:pPr>
      <w:jc w:val="center"/>
    </w:pPr>
    <w:rPr>
      <w:b/>
      <w:bCs/>
    </w:rPr>
  </w:style>
  <w:style w:type="paragraph" w:styleId="Obsah1">
    <w:name w:val="toc 1"/>
    <w:basedOn w:val="Normln"/>
    <w:next w:val="Normln"/>
    <w:autoRedefine/>
    <w:uiPriority w:val="39"/>
    <w:rsid w:val="007B46A9"/>
    <w:pPr>
      <w:tabs>
        <w:tab w:val="left" w:pos="720"/>
        <w:tab w:val="right" w:leader="dot" w:pos="9062"/>
      </w:tabs>
    </w:pPr>
    <w:rPr>
      <w:caps/>
    </w:rPr>
  </w:style>
  <w:style w:type="paragraph" w:customStyle="1" w:styleId="Oznaenstran">
    <w:name w:val="Označení stran"/>
    <w:basedOn w:val="Normln"/>
    <w:rsid w:val="007B46A9"/>
    <w:pPr>
      <w:jc w:val="center"/>
    </w:pPr>
    <w:rPr>
      <w:b/>
      <w:bCs/>
    </w:rPr>
  </w:style>
  <w:style w:type="paragraph" w:customStyle="1" w:styleId="Normlnsted">
    <w:name w:val="Normální střed"/>
    <w:basedOn w:val="Normln"/>
    <w:rsid w:val="007B46A9"/>
    <w:pPr>
      <w:jc w:val="center"/>
    </w:pPr>
  </w:style>
  <w:style w:type="character" w:customStyle="1" w:styleId="ZhlavChar">
    <w:name w:val="Záhlaví Char"/>
    <w:basedOn w:val="Standardnpsmoodstavce"/>
    <w:link w:val="Zhlav"/>
    <w:rsid w:val="000A4456"/>
    <w:rPr>
      <w:rFonts w:ascii="Calibri" w:hAnsi="Calibri"/>
      <w:sz w:val="16"/>
      <w:lang w:val="en-US" w:eastAsia="en-US"/>
    </w:rPr>
  </w:style>
  <w:style w:type="character" w:customStyle="1" w:styleId="Normlntun">
    <w:name w:val="Normální tučné"/>
    <w:basedOn w:val="Standardnpsmoodstavce"/>
    <w:rsid w:val="00BF457F"/>
    <w:rPr>
      <w:rFonts w:ascii="Calibri" w:hAnsi="Calibri"/>
      <w:b/>
      <w:bCs/>
      <w:sz w:val="24"/>
    </w:rPr>
  </w:style>
  <w:style w:type="paragraph" w:styleId="Obsah5">
    <w:name w:val="toc 5"/>
    <w:basedOn w:val="Normln"/>
    <w:next w:val="Normln"/>
    <w:autoRedefine/>
    <w:rsid w:val="00B06D0C"/>
    <w:pPr>
      <w:numPr>
        <w:numId w:val="4"/>
      </w:numPr>
      <w:spacing w:before="0" w:after="0"/>
    </w:pPr>
    <w:rPr>
      <w:lang w:val="cs-CZ" w:eastAsia="cs-CZ"/>
    </w:rPr>
  </w:style>
  <w:style w:type="paragraph" w:styleId="Obsah6">
    <w:name w:val="toc 6"/>
    <w:basedOn w:val="Normln"/>
    <w:next w:val="Normln"/>
    <w:autoRedefine/>
    <w:rsid w:val="00621761"/>
    <w:pPr>
      <w:numPr>
        <w:ilvl w:val="1"/>
        <w:numId w:val="4"/>
      </w:numPr>
      <w:spacing w:before="0" w:after="0"/>
    </w:pPr>
    <w:rPr>
      <w:lang w:val="cs-CZ" w:eastAsia="cs-CZ"/>
    </w:rPr>
  </w:style>
  <w:style w:type="paragraph" w:styleId="Obsah7">
    <w:name w:val="toc 7"/>
    <w:basedOn w:val="Normln"/>
    <w:next w:val="Normln"/>
    <w:autoRedefine/>
    <w:rsid w:val="00621761"/>
    <w:pPr>
      <w:numPr>
        <w:ilvl w:val="2"/>
        <w:numId w:val="4"/>
      </w:numPr>
      <w:spacing w:before="0" w:after="0"/>
    </w:pPr>
    <w:rPr>
      <w:lang w:val="cs-CZ" w:eastAsia="cs-CZ"/>
    </w:rPr>
  </w:style>
  <w:style w:type="paragraph" w:styleId="Obsah8">
    <w:name w:val="toc 8"/>
    <w:basedOn w:val="Normln"/>
    <w:next w:val="Normln"/>
    <w:autoRedefine/>
    <w:rsid w:val="00621761"/>
    <w:pPr>
      <w:numPr>
        <w:ilvl w:val="3"/>
        <w:numId w:val="4"/>
      </w:numPr>
      <w:spacing w:before="0" w:after="0"/>
    </w:pPr>
    <w:rPr>
      <w:lang w:val="cs-CZ" w:eastAsia="cs-CZ"/>
    </w:rPr>
  </w:style>
  <w:style w:type="character" w:customStyle="1" w:styleId="ZpatChar">
    <w:name w:val="Zápatí Char"/>
    <w:basedOn w:val="Standardnpsmoodstavce"/>
    <w:link w:val="Zpat"/>
    <w:rsid w:val="00880D8C"/>
    <w:rPr>
      <w:rFonts w:asciiTheme="minorHAnsi" w:hAnsiTheme="minorHAnsi"/>
      <w:lang w:val="en-US" w:eastAsia="en-US"/>
    </w:rPr>
  </w:style>
  <w:style w:type="paragraph" w:customStyle="1" w:styleId="Normlnbezodsazen">
    <w:name w:val="Normální bez odsazení"/>
    <w:basedOn w:val="Normln"/>
    <w:rsid w:val="002010F0"/>
    <w:pPr>
      <w:spacing w:before="0" w:after="0"/>
    </w:pPr>
  </w:style>
  <w:style w:type="character" w:styleId="Hypertextovodkaz">
    <w:name w:val="Hyperlink"/>
    <w:basedOn w:val="Standardnpsmoodstavce"/>
    <w:uiPriority w:val="99"/>
    <w:rsid w:val="00622723"/>
    <w:rPr>
      <w:color w:val="0000FF" w:themeColor="hyperlink"/>
      <w:u w:val="single"/>
    </w:rPr>
  </w:style>
  <w:style w:type="paragraph" w:styleId="Textbubliny">
    <w:name w:val="Balloon Text"/>
    <w:basedOn w:val="Normln"/>
    <w:link w:val="TextbublinyChar"/>
    <w:semiHidden/>
    <w:unhideWhenUsed/>
    <w:rsid w:val="00072676"/>
    <w:pPr>
      <w:spacing w:before="0" w:after="0"/>
    </w:pPr>
    <w:rPr>
      <w:rFonts w:ascii="Segoe UI" w:hAnsi="Segoe UI" w:cs="Segoe UI"/>
      <w:sz w:val="18"/>
      <w:szCs w:val="18"/>
    </w:rPr>
  </w:style>
  <w:style w:type="character" w:customStyle="1" w:styleId="TextbublinyChar">
    <w:name w:val="Text bubliny Char"/>
    <w:basedOn w:val="Standardnpsmoodstavce"/>
    <w:link w:val="Textbubliny"/>
    <w:semiHidden/>
    <w:rsid w:val="00072676"/>
    <w:rPr>
      <w:rFonts w:ascii="Segoe UI" w:hAnsi="Segoe UI" w:cs="Segoe UI"/>
      <w:sz w:val="18"/>
      <w:szCs w:val="18"/>
      <w:lang w:val="en-US" w:eastAsia="en-US"/>
    </w:rPr>
  </w:style>
  <w:style w:type="character" w:customStyle="1" w:styleId="Nadpis3Char">
    <w:name w:val="Nadpis 3 Char"/>
    <w:basedOn w:val="Standardnpsmoodstavce"/>
    <w:link w:val="Nadpis3"/>
    <w:rsid w:val="001B76C2"/>
    <w:rPr>
      <w:rFonts w:ascii="Calibri" w:hAnsi="Calibri"/>
      <w:snapToGrid w:val="0"/>
      <w:sz w:val="24"/>
      <w:lang w:val="en-US" w:eastAsia="en-US"/>
    </w:rPr>
  </w:style>
  <w:style w:type="character" w:styleId="Odkaznakoment">
    <w:name w:val="annotation reference"/>
    <w:basedOn w:val="Standardnpsmoodstavce"/>
    <w:semiHidden/>
    <w:unhideWhenUsed/>
    <w:rsid w:val="00C4210F"/>
    <w:rPr>
      <w:sz w:val="16"/>
      <w:szCs w:val="16"/>
    </w:rPr>
  </w:style>
  <w:style w:type="paragraph" w:styleId="Textkomente">
    <w:name w:val="annotation text"/>
    <w:basedOn w:val="Normln"/>
    <w:link w:val="TextkomenteChar"/>
    <w:unhideWhenUsed/>
    <w:rsid w:val="00C4210F"/>
    <w:rPr>
      <w:sz w:val="20"/>
    </w:rPr>
  </w:style>
  <w:style w:type="character" w:customStyle="1" w:styleId="TextkomenteChar">
    <w:name w:val="Text komentáře Char"/>
    <w:basedOn w:val="Standardnpsmoodstavce"/>
    <w:link w:val="Textkomente"/>
    <w:rsid w:val="00C4210F"/>
    <w:rPr>
      <w:rFonts w:ascii="Calibri" w:hAnsi="Calibri"/>
      <w:lang w:val="en-US" w:eastAsia="en-US"/>
    </w:rPr>
  </w:style>
  <w:style w:type="paragraph" w:styleId="Pedmtkomente">
    <w:name w:val="annotation subject"/>
    <w:basedOn w:val="Textkomente"/>
    <w:next w:val="Textkomente"/>
    <w:link w:val="PedmtkomenteChar"/>
    <w:semiHidden/>
    <w:unhideWhenUsed/>
    <w:rsid w:val="00C4210F"/>
    <w:rPr>
      <w:b/>
      <w:bCs/>
    </w:rPr>
  </w:style>
  <w:style w:type="character" w:customStyle="1" w:styleId="PedmtkomenteChar">
    <w:name w:val="Předmět komentáře Char"/>
    <w:basedOn w:val="TextkomenteChar"/>
    <w:link w:val="Pedmtkomente"/>
    <w:semiHidden/>
    <w:rsid w:val="00C4210F"/>
    <w:rPr>
      <w:rFonts w:ascii="Calibri" w:hAnsi="Calibri"/>
      <w:b/>
      <w:bCs/>
      <w:lang w:val="en-US" w:eastAsia="en-US"/>
    </w:rPr>
  </w:style>
  <w:style w:type="paragraph" w:styleId="Normlnweb">
    <w:name w:val="Normal (Web)"/>
    <w:basedOn w:val="Normln"/>
    <w:semiHidden/>
    <w:unhideWhenUsed/>
    <w:rsid w:val="00876C09"/>
    <w:rPr>
      <w:rFonts w:ascii="Times New Roman" w:hAnsi="Times New Roman"/>
      <w:szCs w:val="24"/>
    </w:rPr>
  </w:style>
  <w:style w:type="paragraph" w:styleId="Revize">
    <w:name w:val="Revision"/>
    <w:hidden/>
    <w:uiPriority w:val="99"/>
    <w:semiHidden/>
    <w:rsid w:val="00BC11A2"/>
    <w:rPr>
      <w:rFonts w:ascii="Calibri" w:hAnsi="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02134">
      <w:bodyDiv w:val="1"/>
      <w:marLeft w:val="0"/>
      <w:marRight w:val="0"/>
      <w:marTop w:val="0"/>
      <w:marBottom w:val="0"/>
      <w:divBdr>
        <w:top w:val="none" w:sz="0" w:space="0" w:color="auto"/>
        <w:left w:val="none" w:sz="0" w:space="0" w:color="auto"/>
        <w:bottom w:val="none" w:sz="0" w:space="0" w:color="auto"/>
        <w:right w:val="none" w:sz="0" w:space="0" w:color="auto"/>
      </w:divBdr>
    </w:div>
    <w:div w:id="408038578">
      <w:bodyDiv w:val="1"/>
      <w:marLeft w:val="0"/>
      <w:marRight w:val="0"/>
      <w:marTop w:val="0"/>
      <w:marBottom w:val="0"/>
      <w:divBdr>
        <w:top w:val="none" w:sz="0" w:space="0" w:color="auto"/>
        <w:left w:val="none" w:sz="0" w:space="0" w:color="auto"/>
        <w:bottom w:val="none" w:sz="0" w:space="0" w:color="auto"/>
        <w:right w:val="none" w:sz="0" w:space="0" w:color="auto"/>
      </w:divBdr>
    </w:div>
    <w:div w:id="753010583">
      <w:bodyDiv w:val="1"/>
      <w:marLeft w:val="0"/>
      <w:marRight w:val="0"/>
      <w:marTop w:val="0"/>
      <w:marBottom w:val="0"/>
      <w:divBdr>
        <w:top w:val="none" w:sz="0" w:space="0" w:color="auto"/>
        <w:left w:val="none" w:sz="0" w:space="0" w:color="auto"/>
        <w:bottom w:val="none" w:sz="0" w:space="0" w:color="auto"/>
        <w:right w:val="none" w:sz="0" w:space="0" w:color="auto"/>
      </w:divBdr>
    </w:div>
    <w:div w:id="796223528">
      <w:bodyDiv w:val="1"/>
      <w:marLeft w:val="0"/>
      <w:marRight w:val="0"/>
      <w:marTop w:val="0"/>
      <w:marBottom w:val="0"/>
      <w:divBdr>
        <w:top w:val="none" w:sz="0" w:space="0" w:color="auto"/>
        <w:left w:val="none" w:sz="0" w:space="0" w:color="auto"/>
        <w:bottom w:val="none" w:sz="0" w:space="0" w:color="auto"/>
        <w:right w:val="none" w:sz="0" w:space="0" w:color="auto"/>
      </w:divBdr>
    </w:div>
    <w:div w:id="997415633">
      <w:bodyDiv w:val="1"/>
      <w:marLeft w:val="0"/>
      <w:marRight w:val="0"/>
      <w:marTop w:val="0"/>
      <w:marBottom w:val="0"/>
      <w:divBdr>
        <w:top w:val="none" w:sz="0" w:space="0" w:color="auto"/>
        <w:left w:val="none" w:sz="0" w:space="0" w:color="auto"/>
        <w:bottom w:val="none" w:sz="0" w:space="0" w:color="auto"/>
        <w:right w:val="none" w:sz="0" w:space="0" w:color="auto"/>
      </w:divBdr>
    </w:div>
    <w:div w:id="1501853968">
      <w:bodyDiv w:val="1"/>
      <w:marLeft w:val="0"/>
      <w:marRight w:val="0"/>
      <w:marTop w:val="0"/>
      <w:marBottom w:val="0"/>
      <w:divBdr>
        <w:top w:val="none" w:sz="0" w:space="0" w:color="auto"/>
        <w:left w:val="none" w:sz="0" w:space="0" w:color="auto"/>
        <w:bottom w:val="none" w:sz="0" w:space="0" w:color="auto"/>
        <w:right w:val="none" w:sz="0" w:space="0" w:color="auto"/>
      </w:divBdr>
    </w:div>
    <w:div w:id="1546985952">
      <w:bodyDiv w:val="1"/>
      <w:marLeft w:val="0"/>
      <w:marRight w:val="0"/>
      <w:marTop w:val="0"/>
      <w:marBottom w:val="0"/>
      <w:divBdr>
        <w:top w:val="none" w:sz="0" w:space="0" w:color="auto"/>
        <w:left w:val="none" w:sz="0" w:space="0" w:color="auto"/>
        <w:bottom w:val="none" w:sz="0" w:space="0" w:color="auto"/>
        <w:right w:val="none" w:sz="0" w:space="0" w:color="auto"/>
      </w:divBdr>
    </w:div>
    <w:div w:id="1916668247">
      <w:bodyDiv w:val="1"/>
      <w:marLeft w:val="0"/>
      <w:marRight w:val="0"/>
      <w:marTop w:val="0"/>
      <w:marBottom w:val="0"/>
      <w:divBdr>
        <w:top w:val="none" w:sz="0" w:space="0" w:color="auto"/>
        <w:left w:val="none" w:sz="0" w:space="0" w:color="auto"/>
        <w:bottom w:val="none" w:sz="0" w:space="0" w:color="auto"/>
        <w:right w:val="none" w:sz="0" w:space="0" w:color="auto"/>
      </w:divBdr>
    </w:div>
    <w:div w:id="211408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E2190-A770-46F7-A13C-5F4FFFD06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3998</Words>
  <Characters>23592</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2026-02-04T12:09:00Z</dcterms:created>
  <dcterms:modified xsi:type="dcterms:W3CDTF">2026-02-04T12:09:00Z</dcterms:modified>
</cp:coreProperties>
</file>